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7B5F7" w14:textId="52E7DD62" w:rsidR="00CE6E0D" w:rsidRPr="000F7EB1" w:rsidRDefault="00CE6E0D" w:rsidP="00CE6E0D">
      <w:pPr>
        <w:pStyle w:val="3GPPHeader"/>
        <w:spacing w:after="60"/>
        <w:rPr>
          <w:rFonts w:cs="Arial"/>
          <w:sz w:val="28"/>
          <w:szCs w:val="32"/>
          <w:highlight w:val="yellow"/>
          <w:lang w:val="en-US"/>
        </w:rPr>
      </w:pPr>
      <w:bookmarkStart w:id="0" w:name="_GoBack"/>
      <w:bookmarkEnd w:id="0"/>
      <w:r w:rsidRPr="000F7EB1">
        <w:rPr>
          <w:rFonts w:cs="Arial"/>
          <w:lang w:val="en-US"/>
        </w:rPr>
        <w:t>3GPP TSG-RAN WG1 Meeting #9</w:t>
      </w:r>
      <w:r w:rsidR="00CC6348" w:rsidRPr="000F7EB1">
        <w:rPr>
          <w:rFonts w:cs="Arial"/>
          <w:lang w:val="en-US"/>
        </w:rPr>
        <w:t>7</w:t>
      </w:r>
      <w:r w:rsidRPr="000F7EB1">
        <w:rPr>
          <w:rFonts w:cs="Arial"/>
          <w:lang w:val="en-US"/>
        </w:rPr>
        <w:tab/>
      </w:r>
      <w:r w:rsidRPr="000F7EB1">
        <w:rPr>
          <w:rFonts w:cs="Arial"/>
          <w:sz w:val="28"/>
          <w:szCs w:val="32"/>
          <w:lang w:val="en-US"/>
        </w:rPr>
        <w:t>R1-</w:t>
      </w:r>
      <w:r w:rsidR="009B612E" w:rsidRPr="000F7EB1">
        <w:rPr>
          <w:rFonts w:cs="Arial"/>
          <w:sz w:val="28"/>
          <w:szCs w:val="32"/>
          <w:lang w:val="en-US"/>
        </w:rPr>
        <w:t>1907137</w:t>
      </w:r>
    </w:p>
    <w:p w14:paraId="62AC86BE" w14:textId="06EB5652" w:rsidR="00CE6E0D" w:rsidRPr="000F7EB1" w:rsidRDefault="00CC6348" w:rsidP="00CE6E0D">
      <w:pPr>
        <w:pStyle w:val="3GPPHeader"/>
        <w:rPr>
          <w:rFonts w:cs="Arial"/>
          <w:lang w:val="en-US"/>
        </w:rPr>
      </w:pPr>
      <w:r w:rsidRPr="000F7EB1">
        <w:rPr>
          <w:rFonts w:cs="Arial"/>
          <w:lang w:val="en-US"/>
        </w:rPr>
        <w:t>Reno</w:t>
      </w:r>
      <w:r w:rsidR="00CE6E0D" w:rsidRPr="000F7EB1">
        <w:rPr>
          <w:rFonts w:cs="Arial"/>
          <w:lang w:val="en-US"/>
        </w:rPr>
        <w:t xml:space="preserve">, </w:t>
      </w:r>
      <w:r w:rsidRPr="000F7EB1">
        <w:rPr>
          <w:rFonts w:cs="Arial"/>
          <w:lang w:val="en-US"/>
        </w:rPr>
        <w:t>US</w:t>
      </w:r>
      <w:r w:rsidR="00CE6E0D" w:rsidRPr="000F7EB1">
        <w:rPr>
          <w:rFonts w:cs="Arial"/>
          <w:lang w:val="en-US"/>
        </w:rPr>
        <w:t xml:space="preserve">, </w:t>
      </w:r>
      <w:r w:rsidRPr="000F7EB1">
        <w:rPr>
          <w:rFonts w:cs="Arial"/>
          <w:lang w:val="en-US"/>
        </w:rPr>
        <w:t>May</w:t>
      </w:r>
      <w:r w:rsidR="00CE6E0D" w:rsidRPr="000F7EB1">
        <w:rPr>
          <w:rFonts w:cs="Arial"/>
          <w:lang w:val="en-US"/>
        </w:rPr>
        <w:t xml:space="preserve"> </w:t>
      </w:r>
      <w:r w:rsidR="00503251" w:rsidRPr="000F7EB1">
        <w:rPr>
          <w:rFonts w:cs="Arial"/>
          <w:lang w:val="en-US"/>
        </w:rPr>
        <w:t>13</w:t>
      </w:r>
      <w:r w:rsidR="00CE6E0D" w:rsidRPr="000F7EB1">
        <w:rPr>
          <w:rFonts w:cs="Arial"/>
          <w:vertAlign w:val="superscript"/>
          <w:lang w:val="en-US"/>
        </w:rPr>
        <w:t>th</w:t>
      </w:r>
      <w:r w:rsidR="00CE6E0D" w:rsidRPr="000F7EB1">
        <w:rPr>
          <w:rFonts w:cs="Arial"/>
          <w:lang w:val="en-US"/>
        </w:rPr>
        <w:t xml:space="preserve"> – 1</w:t>
      </w:r>
      <w:r w:rsidR="00503251" w:rsidRPr="000F7EB1">
        <w:rPr>
          <w:rFonts w:cs="Arial"/>
          <w:lang w:val="en-US"/>
        </w:rPr>
        <w:t>7</w:t>
      </w:r>
      <w:r w:rsidR="00CE6E0D" w:rsidRPr="000F7EB1">
        <w:rPr>
          <w:rFonts w:cs="Arial"/>
          <w:vertAlign w:val="superscript"/>
          <w:lang w:val="en-US"/>
        </w:rPr>
        <w:t>th</w:t>
      </w:r>
      <w:r w:rsidR="00CE6E0D" w:rsidRPr="000F7EB1">
        <w:rPr>
          <w:rFonts w:cs="Arial"/>
          <w:lang w:val="en-US"/>
        </w:rPr>
        <w:t xml:space="preserve"> 2019</w:t>
      </w:r>
    </w:p>
    <w:p w14:paraId="0FBA01D8" w14:textId="77777777" w:rsidR="00CE6E0D" w:rsidRPr="000F7EB1" w:rsidRDefault="00CE6E0D" w:rsidP="00CE6E0D">
      <w:pPr>
        <w:pStyle w:val="3GPPHeader"/>
        <w:rPr>
          <w:rFonts w:cs="Arial"/>
          <w:lang w:val="en-US"/>
        </w:rPr>
      </w:pPr>
    </w:p>
    <w:p w14:paraId="0ED25777" w14:textId="72CB16B0" w:rsidR="002820B0" w:rsidRPr="000F7EB1" w:rsidRDefault="002820B0" w:rsidP="002820B0">
      <w:pPr>
        <w:pStyle w:val="3GPPHeader"/>
        <w:rPr>
          <w:lang w:val="en-US"/>
        </w:rPr>
      </w:pPr>
      <w:r w:rsidRPr="000F7EB1">
        <w:rPr>
          <w:lang w:val="en-US"/>
        </w:rPr>
        <w:t>Agenda Item:</w:t>
      </w:r>
      <w:r w:rsidRPr="000F7EB1">
        <w:rPr>
          <w:lang w:val="en-US"/>
        </w:rPr>
        <w:tab/>
      </w:r>
      <w:r w:rsidR="00AC5D10" w:rsidRPr="000F7EB1">
        <w:rPr>
          <w:lang w:val="en-US"/>
        </w:rPr>
        <w:t>7.2.4.2.3</w:t>
      </w:r>
    </w:p>
    <w:p w14:paraId="36723816" w14:textId="77777777" w:rsidR="002820B0" w:rsidRPr="000F7EB1" w:rsidRDefault="002820B0" w:rsidP="002820B0">
      <w:pPr>
        <w:pStyle w:val="3GPPHeader"/>
        <w:rPr>
          <w:lang w:val="en-US"/>
        </w:rPr>
      </w:pPr>
      <w:r w:rsidRPr="000F7EB1">
        <w:rPr>
          <w:lang w:val="en-US"/>
        </w:rPr>
        <w:t>Source:</w:t>
      </w:r>
      <w:r w:rsidRPr="000F7EB1">
        <w:rPr>
          <w:lang w:val="en-US"/>
        </w:rPr>
        <w:tab/>
        <w:t>Ericsson</w:t>
      </w:r>
    </w:p>
    <w:p w14:paraId="56DE853F" w14:textId="38E645CB" w:rsidR="002820B0" w:rsidRPr="000F7EB1" w:rsidRDefault="002820B0" w:rsidP="002820B0">
      <w:pPr>
        <w:pStyle w:val="3GPPHeader"/>
        <w:rPr>
          <w:lang w:val="en-US"/>
        </w:rPr>
      </w:pPr>
      <w:r w:rsidRPr="000F7EB1">
        <w:rPr>
          <w:lang w:val="en-US"/>
        </w:rPr>
        <w:t>Title:</w:t>
      </w:r>
      <w:r w:rsidRPr="000F7EB1">
        <w:rPr>
          <w:lang w:val="en-US"/>
        </w:rPr>
        <w:tab/>
      </w:r>
      <w:r w:rsidR="008F46E9" w:rsidRPr="000F7EB1">
        <w:rPr>
          <w:lang w:val="en-US"/>
        </w:rPr>
        <w:t xml:space="preserve">On CSI report </w:t>
      </w:r>
      <w:r w:rsidR="00BC1DAE" w:rsidRPr="000F7EB1">
        <w:rPr>
          <w:lang w:val="en-US"/>
        </w:rPr>
        <w:t>for Mode-1</w:t>
      </w:r>
    </w:p>
    <w:p w14:paraId="7D918D49" w14:textId="7EEF8515" w:rsidR="002820B0" w:rsidRPr="000F7EB1" w:rsidRDefault="002820B0" w:rsidP="002E5776">
      <w:pPr>
        <w:pStyle w:val="3GPPHeader"/>
        <w:rPr>
          <w:lang w:val="en-US"/>
        </w:rPr>
      </w:pPr>
      <w:r w:rsidRPr="000F7EB1">
        <w:rPr>
          <w:lang w:val="en-US"/>
        </w:rPr>
        <w:t>Document for:</w:t>
      </w:r>
      <w:r w:rsidRPr="000F7EB1">
        <w:rPr>
          <w:lang w:val="en-US"/>
        </w:rPr>
        <w:tab/>
        <w:t>Discussion, Decision</w:t>
      </w:r>
    </w:p>
    <w:p w14:paraId="53E61CD5" w14:textId="77777777" w:rsidR="002820B0" w:rsidRPr="009759D3" w:rsidRDefault="002820B0" w:rsidP="00726677">
      <w:pPr>
        <w:pStyle w:val="Heading1"/>
      </w:pPr>
      <w:r>
        <w:t>1</w:t>
      </w:r>
      <w:r>
        <w:tab/>
      </w:r>
      <w:r w:rsidRPr="00726677">
        <w:t>Introduction</w:t>
      </w:r>
    </w:p>
    <w:p w14:paraId="37660214" w14:textId="603D3FDA" w:rsidR="007D1E1D" w:rsidRPr="009759D3" w:rsidRDefault="00615044" w:rsidP="007D1E1D">
      <w:pPr>
        <w:pStyle w:val="BodyText"/>
        <w:rPr>
          <w:sz w:val="20"/>
          <w:lang w:val="en-IN"/>
        </w:rPr>
      </w:pPr>
      <w:r w:rsidRPr="009759D3">
        <w:rPr>
          <w:sz w:val="20"/>
          <w:lang w:val="en-IN"/>
        </w:rPr>
        <w:t xml:space="preserve">A new WI [1] on 5G V2X has been approved in RAN plenary # 83. One of the objectives of the WID is to specify the L1/L2 procedures for unicast and groupcast for UEs operating in either mode-1 (i.e. Network controlled) and mode-2 (i.e. autonomous). </w:t>
      </w:r>
      <w:r w:rsidR="007D1E1D" w:rsidRPr="009759D3">
        <w:rPr>
          <w:sz w:val="20"/>
          <w:lang w:val="en-IN"/>
        </w:rPr>
        <w:t>Related to SL CSI report, the following agreements have been made</w:t>
      </w:r>
      <w:r w:rsidR="007A72ED" w:rsidRPr="009759D3">
        <w:rPr>
          <w:sz w:val="20"/>
          <w:lang w:val="en-IN"/>
        </w:rPr>
        <w:t xml:space="preserve"> so far for Rel. 16</w:t>
      </w:r>
      <w:r w:rsidR="007D1E1D" w:rsidRPr="009759D3">
        <w:rPr>
          <w:sz w:val="20"/>
          <w:lang w:val="en-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E5776" w:rsidRPr="00D87F71" w14:paraId="0BD87054" w14:textId="77777777" w:rsidTr="00F51191">
        <w:tc>
          <w:tcPr>
            <w:tcW w:w="9855" w:type="dxa"/>
            <w:shd w:val="clear" w:color="auto" w:fill="auto"/>
          </w:tcPr>
          <w:p w14:paraId="0F8F1DB7" w14:textId="77777777" w:rsidR="002E5776" w:rsidRPr="009759D3" w:rsidRDefault="002E5776" w:rsidP="00F51191">
            <w:pPr>
              <w:spacing w:before="240"/>
              <w:rPr>
                <w:rFonts w:ascii="Arial" w:eastAsia="Arial" w:hAnsi="Arial" w:cs="Arial"/>
                <w:sz w:val="20"/>
                <w:highlight w:val="darkYellow"/>
              </w:rPr>
            </w:pPr>
            <w:r w:rsidRPr="009759D3">
              <w:rPr>
                <w:rFonts w:ascii="Arial" w:eastAsia="Arial" w:hAnsi="Arial" w:cs="Arial"/>
                <w:sz w:val="20"/>
                <w:highlight w:val="darkYellow"/>
              </w:rPr>
              <w:t>Working assumption:</w:t>
            </w:r>
          </w:p>
          <w:p w14:paraId="0073B52C" w14:textId="77777777" w:rsidR="002E5776" w:rsidRPr="000F7EB1" w:rsidRDefault="002E5776" w:rsidP="002E5776">
            <w:pPr>
              <w:numPr>
                <w:ilvl w:val="0"/>
                <w:numId w:val="32"/>
              </w:numPr>
              <w:rPr>
                <w:rFonts w:ascii="Arial" w:hAnsi="Arial"/>
                <w:sz w:val="20"/>
                <w:lang w:val="en-US"/>
              </w:rPr>
            </w:pPr>
            <w:r w:rsidRPr="000F7EB1">
              <w:rPr>
                <w:rFonts w:ascii="Arial" w:eastAsia="Arial" w:hAnsi="Arial" w:cs="Arial"/>
                <w:sz w:val="20"/>
                <w:lang w:val="en-US"/>
              </w:rPr>
              <w:t>For unicast, the following CSI reporting is supported based on non-subband-based aperiodic CSI reporting mechanism assuming no more than 4-port:</w:t>
            </w:r>
          </w:p>
          <w:p w14:paraId="71FA1B98" w14:textId="77777777" w:rsidR="002E5776" w:rsidRPr="009759D3" w:rsidRDefault="002E5776" w:rsidP="002E5776">
            <w:pPr>
              <w:numPr>
                <w:ilvl w:val="1"/>
                <w:numId w:val="32"/>
              </w:numPr>
              <w:rPr>
                <w:rFonts w:ascii="Arial" w:hAnsi="Arial"/>
                <w:sz w:val="20"/>
              </w:rPr>
            </w:pPr>
            <w:r w:rsidRPr="009759D3">
              <w:rPr>
                <w:rFonts w:ascii="Arial" w:eastAsia="Arial" w:hAnsi="Arial" w:cs="Arial" w:hint="eastAsia"/>
                <w:sz w:val="20"/>
              </w:rPr>
              <w:t>CQI</w:t>
            </w:r>
          </w:p>
          <w:p w14:paraId="2301826B" w14:textId="77777777" w:rsidR="002E5776" w:rsidRPr="009759D3" w:rsidRDefault="002E5776" w:rsidP="002E5776">
            <w:pPr>
              <w:numPr>
                <w:ilvl w:val="1"/>
                <w:numId w:val="32"/>
              </w:numPr>
              <w:rPr>
                <w:rFonts w:ascii="Arial" w:hAnsi="Arial"/>
                <w:sz w:val="20"/>
              </w:rPr>
            </w:pPr>
            <w:r w:rsidRPr="009759D3">
              <w:rPr>
                <w:rFonts w:ascii="Arial" w:eastAsia="Arial" w:hAnsi="Arial" w:cs="Arial"/>
                <w:sz w:val="20"/>
              </w:rPr>
              <w:t>RI</w:t>
            </w:r>
          </w:p>
          <w:p w14:paraId="0BF50CFB" w14:textId="77777777" w:rsidR="002E5776" w:rsidRPr="009759D3" w:rsidRDefault="002E5776" w:rsidP="002E5776">
            <w:pPr>
              <w:numPr>
                <w:ilvl w:val="1"/>
                <w:numId w:val="32"/>
              </w:numPr>
              <w:rPr>
                <w:rFonts w:ascii="Arial" w:hAnsi="Arial"/>
                <w:sz w:val="20"/>
              </w:rPr>
            </w:pPr>
            <w:r w:rsidRPr="009759D3">
              <w:rPr>
                <w:rFonts w:ascii="Arial" w:eastAsia="Arial" w:hAnsi="Arial" w:cs="Arial"/>
                <w:sz w:val="20"/>
              </w:rPr>
              <w:t>PMI</w:t>
            </w:r>
          </w:p>
          <w:p w14:paraId="52FF9EF2" w14:textId="77777777" w:rsidR="002E5776" w:rsidRPr="000F7EB1" w:rsidRDefault="002E5776" w:rsidP="002E5776">
            <w:pPr>
              <w:numPr>
                <w:ilvl w:val="0"/>
                <w:numId w:val="32"/>
              </w:numPr>
              <w:rPr>
                <w:rFonts w:ascii="Arial" w:hAnsi="Arial"/>
                <w:sz w:val="20"/>
                <w:lang w:val="en-US"/>
              </w:rPr>
            </w:pPr>
            <w:r w:rsidRPr="000F7EB1">
              <w:rPr>
                <w:rFonts w:ascii="Arial" w:eastAsia="Arial" w:hAnsi="Arial" w:cs="Arial"/>
                <w:sz w:val="20"/>
                <w:lang w:val="en-US"/>
              </w:rPr>
              <w:t>CSI reporting can be enabled and disabled by configuration.</w:t>
            </w:r>
          </w:p>
          <w:p w14:paraId="338198BC" w14:textId="77777777" w:rsidR="002E5776" w:rsidRPr="000F7EB1" w:rsidRDefault="002E5776" w:rsidP="002E5776">
            <w:pPr>
              <w:numPr>
                <w:ilvl w:val="1"/>
                <w:numId w:val="32"/>
              </w:numPr>
              <w:rPr>
                <w:rFonts w:ascii="Arial" w:hAnsi="Arial"/>
                <w:sz w:val="20"/>
                <w:lang w:val="en-US"/>
              </w:rPr>
            </w:pPr>
            <w:r w:rsidRPr="000F7EB1">
              <w:rPr>
                <w:rFonts w:ascii="Arial" w:eastAsia="Arial" w:hAnsi="Arial" w:cs="Arial"/>
                <w:sz w:val="20"/>
                <w:lang w:val="en-US"/>
              </w:rPr>
              <w:t>It is supported to configure a subset of the above metric for CSI reporting.</w:t>
            </w:r>
          </w:p>
          <w:p w14:paraId="0DCD3094" w14:textId="77777777" w:rsidR="002E5776" w:rsidRPr="000F7EB1" w:rsidRDefault="002E5776" w:rsidP="002E5776">
            <w:pPr>
              <w:numPr>
                <w:ilvl w:val="0"/>
                <w:numId w:val="32"/>
              </w:numPr>
              <w:rPr>
                <w:rFonts w:ascii="Arial" w:hAnsi="Arial"/>
                <w:sz w:val="20"/>
                <w:lang w:val="en-US"/>
              </w:rPr>
            </w:pPr>
            <w:r w:rsidRPr="000F7EB1">
              <w:rPr>
                <w:rFonts w:ascii="Arial" w:eastAsia="Arial" w:hAnsi="Arial" w:cs="Arial"/>
                <w:sz w:val="20"/>
                <w:lang w:val="en-US"/>
              </w:rPr>
              <w:t>There is no standalone RS transmission dedicated to CSI reporting in Rel-16</w:t>
            </w:r>
          </w:p>
          <w:p w14:paraId="13CD4DCC" w14:textId="77777777" w:rsidR="002E5776" w:rsidRPr="000F7EB1" w:rsidRDefault="002E5776" w:rsidP="002E5776">
            <w:pPr>
              <w:numPr>
                <w:ilvl w:val="0"/>
                <w:numId w:val="32"/>
              </w:numPr>
              <w:rPr>
                <w:rFonts w:ascii="Arial" w:hAnsi="Arial"/>
                <w:sz w:val="20"/>
                <w:lang w:val="en-US"/>
              </w:rPr>
            </w:pPr>
            <w:r w:rsidRPr="000F7EB1">
              <w:rPr>
                <w:rFonts w:ascii="Arial" w:eastAsia="Arial" w:hAnsi="Arial" w:cs="Arial"/>
                <w:sz w:val="20"/>
                <w:lang w:val="en-US"/>
              </w:rPr>
              <w:t>NR sidelink CSI strives to reuse the CSI framework for NR Uu.</w:t>
            </w:r>
          </w:p>
          <w:p w14:paraId="462E4F25" w14:textId="77777777" w:rsidR="002E5776" w:rsidRPr="009759D3" w:rsidRDefault="002E5776" w:rsidP="002E5776">
            <w:pPr>
              <w:numPr>
                <w:ilvl w:val="1"/>
                <w:numId w:val="32"/>
              </w:numPr>
              <w:rPr>
                <w:rFonts w:ascii="Arial" w:hAnsi="Arial"/>
                <w:sz w:val="20"/>
              </w:rPr>
            </w:pPr>
            <w:r w:rsidRPr="009759D3">
              <w:rPr>
                <w:rFonts w:ascii="Arial" w:eastAsia="Arial" w:hAnsi="Arial" w:cs="Arial"/>
                <w:sz w:val="20"/>
              </w:rPr>
              <w:t>Discuss details during WI phase</w:t>
            </w:r>
          </w:p>
          <w:p w14:paraId="799F1594" w14:textId="77777777" w:rsidR="002E5776" w:rsidRPr="009759D3" w:rsidRDefault="002E5776" w:rsidP="00F51191">
            <w:pPr>
              <w:ind w:left="720"/>
              <w:rPr>
                <w:rFonts w:ascii="Arial" w:eastAsia="Arial" w:hAnsi="Arial" w:cs="Arial"/>
                <w:sz w:val="20"/>
              </w:rPr>
            </w:pPr>
          </w:p>
          <w:p w14:paraId="670BD87B" w14:textId="77777777" w:rsidR="002E5776" w:rsidRPr="009759D3" w:rsidRDefault="002E5776" w:rsidP="00F51191">
            <w:pPr>
              <w:rPr>
                <w:rFonts w:ascii="Arial" w:eastAsia="Arial" w:hAnsi="Arial" w:cs="Arial"/>
                <w:b/>
                <w:sz w:val="20"/>
              </w:rPr>
            </w:pPr>
            <w:r w:rsidRPr="009759D3">
              <w:rPr>
                <w:rFonts w:ascii="Arial" w:eastAsia="Arial" w:hAnsi="Arial" w:cs="Arial"/>
                <w:b/>
                <w:sz w:val="20"/>
              </w:rPr>
              <w:t xml:space="preserve">WID objective: </w:t>
            </w:r>
          </w:p>
          <w:p w14:paraId="4C7CE17E" w14:textId="77777777" w:rsidR="002E5776" w:rsidRPr="000F7EB1" w:rsidRDefault="002E5776" w:rsidP="002E5776">
            <w:pPr>
              <w:numPr>
                <w:ilvl w:val="0"/>
                <w:numId w:val="33"/>
              </w:numPr>
              <w:jc w:val="both"/>
              <w:rPr>
                <w:rFonts w:ascii="Arial" w:hAnsi="Arial"/>
                <w:sz w:val="20"/>
                <w:lang w:val="en-US"/>
              </w:rPr>
            </w:pPr>
            <w:r w:rsidRPr="000F7EB1">
              <w:rPr>
                <w:rFonts w:ascii="Arial" w:eastAsia="Arial" w:hAnsi="Arial" w:cs="Arial"/>
                <w:sz w:val="20"/>
                <w:lang w:val="en-US"/>
              </w:rPr>
              <w:t>Sidelink physical layer procedures as per the study outcome</w:t>
            </w:r>
          </w:p>
          <w:p w14:paraId="6DE36D72" w14:textId="77777777" w:rsidR="002E5776" w:rsidRPr="009759D3" w:rsidRDefault="002E5776" w:rsidP="002E5776">
            <w:pPr>
              <w:numPr>
                <w:ilvl w:val="1"/>
                <w:numId w:val="33"/>
              </w:numPr>
              <w:jc w:val="both"/>
              <w:rPr>
                <w:rFonts w:ascii="Arial" w:hAnsi="Arial"/>
                <w:sz w:val="20"/>
              </w:rPr>
            </w:pPr>
            <w:r w:rsidRPr="009759D3">
              <w:rPr>
                <w:rFonts w:ascii="Arial" w:eastAsia="Arial" w:hAnsi="Arial" w:cs="Arial" w:hint="eastAsia"/>
                <w:sz w:val="20"/>
              </w:rPr>
              <w:t xml:space="preserve">CSI acquisition </w:t>
            </w:r>
            <w:r w:rsidRPr="009759D3">
              <w:rPr>
                <w:rFonts w:ascii="Arial" w:eastAsia="Arial" w:hAnsi="Arial" w:cs="Arial"/>
                <w:sz w:val="20"/>
              </w:rPr>
              <w:t>for unicast</w:t>
            </w:r>
          </w:p>
          <w:p w14:paraId="48EAA3FA" w14:textId="77777777" w:rsidR="002E5776" w:rsidRPr="000F7EB1" w:rsidRDefault="002E5776" w:rsidP="002E5776">
            <w:pPr>
              <w:numPr>
                <w:ilvl w:val="2"/>
                <w:numId w:val="33"/>
              </w:numPr>
              <w:jc w:val="both"/>
              <w:rPr>
                <w:rFonts w:ascii="Arial" w:hAnsi="Arial"/>
                <w:sz w:val="20"/>
                <w:lang w:val="en-US"/>
              </w:rPr>
            </w:pPr>
            <w:r w:rsidRPr="000F7EB1">
              <w:rPr>
                <w:rFonts w:ascii="Arial" w:eastAsia="Arial" w:hAnsi="Arial" w:cs="Arial"/>
                <w:sz w:val="20"/>
                <w:lang w:val="en-US"/>
              </w:rPr>
              <w:t>CQI/RI reporting is supported and they are always reported together. No PMI reporting is supported in this work. Multi-rank PSSCH transmission is supported up to two antenna ports.</w:t>
            </w:r>
          </w:p>
          <w:p w14:paraId="0C27BCBD" w14:textId="77777777" w:rsidR="002E5776" w:rsidRPr="000F7EB1" w:rsidRDefault="002E5776" w:rsidP="002E5776">
            <w:pPr>
              <w:numPr>
                <w:ilvl w:val="2"/>
                <w:numId w:val="33"/>
              </w:numPr>
              <w:jc w:val="both"/>
              <w:rPr>
                <w:rFonts w:ascii="Arial" w:hAnsi="Arial"/>
                <w:sz w:val="20"/>
                <w:lang w:val="en-US"/>
              </w:rPr>
            </w:pPr>
            <w:r w:rsidRPr="000F7EB1">
              <w:rPr>
                <w:rFonts w:ascii="Arial" w:eastAsia="Arial" w:hAnsi="Arial" w:cs="Arial"/>
                <w:sz w:val="20"/>
                <w:lang w:val="en-US"/>
              </w:rPr>
              <w:t>In sidelink, CSI is delivered using PSSCH (including PSSCH containing CSI only) using the resource allocation procedure for data transmission.</w:t>
            </w:r>
          </w:p>
          <w:p w14:paraId="11A1EAF3" w14:textId="77777777" w:rsidR="00B35DF6" w:rsidRPr="009759D3" w:rsidRDefault="00B35DF6" w:rsidP="00B35DF6">
            <w:pPr>
              <w:pStyle w:val="LGTdoc"/>
              <w:spacing w:before="100" w:beforeAutospacing="1" w:afterLines="0" w:after="60"/>
              <w:rPr>
                <w:rFonts w:ascii="Calibri" w:hAnsi="Calibri" w:cs="Calibri"/>
                <w:sz w:val="20"/>
              </w:rPr>
            </w:pPr>
            <w:r w:rsidRPr="009759D3">
              <w:rPr>
                <w:rFonts w:ascii="Calibri" w:hAnsi="Calibri" w:cs="Calibri"/>
                <w:sz w:val="20"/>
                <w:highlight w:val="green"/>
              </w:rPr>
              <w:t>Agreements</w:t>
            </w:r>
            <w:r w:rsidRPr="009759D3">
              <w:rPr>
                <w:rFonts w:ascii="Calibri" w:hAnsi="Calibri" w:cs="Calibri"/>
                <w:sz w:val="20"/>
              </w:rPr>
              <w:t>:</w:t>
            </w:r>
          </w:p>
          <w:p w14:paraId="0BBF3470" w14:textId="77777777" w:rsidR="00B35DF6" w:rsidRPr="000F7EB1" w:rsidRDefault="00B35DF6" w:rsidP="00907DE5">
            <w:pPr>
              <w:pStyle w:val="LGTdoc"/>
              <w:numPr>
                <w:ilvl w:val="0"/>
                <w:numId w:val="33"/>
              </w:numPr>
              <w:spacing w:before="100" w:beforeAutospacing="1" w:afterLines="0" w:after="60"/>
              <w:rPr>
                <w:rFonts w:ascii="Arial" w:eastAsia="Arial" w:hAnsi="Arial" w:cs="Arial"/>
                <w:kern w:val="0"/>
                <w:sz w:val="20"/>
                <w:lang w:val="en-US" w:eastAsia="en-US"/>
              </w:rPr>
            </w:pPr>
            <w:r w:rsidRPr="000F7EB1">
              <w:rPr>
                <w:rFonts w:ascii="Arial" w:eastAsia="Arial" w:hAnsi="Arial" w:cs="Arial" w:hint="eastAsia"/>
                <w:kern w:val="0"/>
                <w:sz w:val="20"/>
                <w:lang w:val="en-US" w:eastAsia="en-US"/>
              </w:rPr>
              <w:t xml:space="preserve">Support </w:t>
            </w:r>
            <w:r w:rsidRPr="000F7EB1">
              <w:rPr>
                <w:rFonts w:ascii="Arial" w:eastAsia="Arial" w:hAnsi="Arial" w:cs="Arial"/>
                <w:kern w:val="0"/>
                <w:sz w:val="20"/>
                <w:lang w:val="en-US" w:eastAsia="en-US"/>
              </w:rPr>
              <w:t xml:space="preserve">at least </w:t>
            </w:r>
            <w:r w:rsidRPr="000F7EB1">
              <w:rPr>
                <w:rFonts w:ascii="Arial" w:eastAsia="Arial" w:hAnsi="Arial" w:cs="Arial" w:hint="eastAsia"/>
                <w:kern w:val="0"/>
                <w:sz w:val="20"/>
                <w:lang w:val="en-US" w:eastAsia="en-US"/>
              </w:rPr>
              <w:t>Sidelink CSI-RS for CQI/RI measurement</w:t>
            </w:r>
          </w:p>
          <w:p w14:paraId="414B5D17" w14:textId="77777777" w:rsidR="00B35DF6" w:rsidRPr="000F7EB1" w:rsidRDefault="00B35DF6" w:rsidP="00B35DF6">
            <w:pPr>
              <w:pStyle w:val="LGTdoc"/>
              <w:numPr>
                <w:ilvl w:val="1"/>
                <w:numId w:val="34"/>
              </w:numPr>
              <w:spacing w:before="100" w:beforeAutospacing="1" w:afterLines="0" w:after="60"/>
              <w:rPr>
                <w:rFonts w:ascii="Arial" w:eastAsia="Arial" w:hAnsi="Arial" w:cs="Arial"/>
                <w:kern w:val="0"/>
                <w:sz w:val="20"/>
                <w:lang w:val="en-US" w:eastAsia="en-US"/>
              </w:rPr>
            </w:pPr>
            <w:r w:rsidRPr="000F7EB1">
              <w:rPr>
                <w:rFonts w:ascii="Arial" w:eastAsia="Arial" w:hAnsi="Arial" w:cs="Arial"/>
                <w:kern w:val="0"/>
                <w:sz w:val="20"/>
                <w:lang w:val="en-US" w:eastAsia="en-US"/>
              </w:rPr>
              <w:lastRenderedPageBreak/>
              <w:t>S</w:t>
            </w:r>
            <w:r w:rsidRPr="000F7EB1">
              <w:rPr>
                <w:rFonts w:ascii="Arial" w:eastAsia="Arial" w:hAnsi="Arial" w:cs="Arial" w:hint="eastAsia"/>
                <w:kern w:val="0"/>
                <w:sz w:val="20"/>
                <w:lang w:val="en-US" w:eastAsia="en-US"/>
              </w:rPr>
              <w:t xml:space="preserve">idelink CSI-RS </w:t>
            </w:r>
            <w:r w:rsidRPr="000F7EB1">
              <w:rPr>
                <w:rFonts w:ascii="Arial" w:eastAsia="Arial" w:hAnsi="Arial" w:cs="Arial"/>
                <w:kern w:val="0"/>
                <w:sz w:val="20"/>
                <w:lang w:val="en-US" w:eastAsia="en-US"/>
              </w:rPr>
              <w:t>is confined within the PSSCH transmission</w:t>
            </w:r>
          </w:p>
          <w:p w14:paraId="6CA18782" w14:textId="6B805608" w:rsidR="00B35DF6" w:rsidRPr="000F7EB1" w:rsidRDefault="00B35DF6" w:rsidP="00B35DF6">
            <w:pPr>
              <w:jc w:val="both"/>
              <w:rPr>
                <w:rFonts w:ascii="Arial" w:hAnsi="Arial"/>
                <w:sz w:val="20"/>
                <w:lang w:val="en-US"/>
              </w:rPr>
            </w:pPr>
          </w:p>
        </w:tc>
      </w:tr>
    </w:tbl>
    <w:p w14:paraId="3DED0633" w14:textId="03B77043" w:rsidR="002820B0" w:rsidRPr="000F7EB1" w:rsidRDefault="002820B0" w:rsidP="002820B0">
      <w:pPr>
        <w:pStyle w:val="BodyText"/>
        <w:rPr>
          <w:sz w:val="20"/>
          <w:lang w:val="en-US"/>
        </w:rPr>
      </w:pPr>
    </w:p>
    <w:p w14:paraId="07875D31" w14:textId="22AD605A" w:rsidR="00EB22FA" w:rsidRPr="009759D3" w:rsidRDefault="00EB22FA" w:rsidP="00EB22FA">
      <w:pPr>
        <w:pStyle w:val="BodyText"/>
        <w:rPr>
          <w:sz w:val="20"/>
          <w:highlight w:val="yellow"/>
          <w:lang w:val="en-IN"/>
        </w:rPr>
      </w:pPr>
      <w:bookmarkStart w:id="1" w:name="_Ref178064866"/>
      <w:r w:rsidRPr="009759D3">
        <w:rPr>
          <w:sz w:val="20"/>
          <w:lang w:val="en-IN"/>
        </w:rPr>
        <w:t>In this contribution, we focus</w:t>
      </w:r>
      <w:r w:rsidR="00A479EB" w:rsidRPr="009759D3">
        <w:rPr>
          <w:sz w:val="20"/>
          <w:lang w:val="en-IN"/>
        </w:rPr>
        <w:t xml:space="preserve"> </w:t>
      </w:r>
      <w:r w:rsidRPr="009759D3">
        <w:rPr>
          <w:sz w:val="20"/>
          <w:lang w:val="en-IN"/>
        </w:rPr>
        <w:t xml:space="preserve">the discussion on SL CSI report handling for </w:t>
      </w:r>
      <w:r w:rsidR="00FC5126" w:rsidRPr="009759D3">
        <w:rPr>
          <w:sz w:val="20"/>
          <w:lang w:val="en-IN"/>
        </w:rPr>
        <w:t xml:space="preserve">unicast </w:t>
      </w:r>
      <w:r w:rsidRPr="009759D3">
        <w:rPr>
          <w:sz w:val="20"/>
          <w:lang w:val="en-IN"/>
        </w:rPr>
        <w:t>Mode-1 operation</w:t>
      </w:r>
      <w:r w:rsidR="00A479EB" w:rsidRPr="009759D3">
        <w:rPr>
          <w:sz w:val="20"/>
          <w:lang w:val="en-IN"/>
        </w:rPr>
        <w:t xml:space="preserve">, including </w:t>
      </w:r>
      <w:r w:rsidR="00FB6F9C" w:rsidRPr="009759D3">
        <w:rPr>
          <w:sz w:val="20"/>
          <w:lang w:val="en-IN"/>
        </w:rPr>
        <w:t xml:space="preserve">how to trigger and transmit SL CSI report to the gNB. </w:t>
      </w:r>
      <w:r w:rsidRPr="009759D3">
        <w:rPr>
          <w:sz w:val="20"/>
          <w:lang w:val="en-IN"/>
        </w:rPr>
        <w:t xml:space="preserve">The details of CSI report over SL are discussed in </w:t>
      </w:r>
      <w:r w:rsidR="00666271" w:rsidRPr="009759D3">
        <w:rPr>
          <w:sz w:val="20"/>
          <w:lang w:val="en-IN"/>
        </w:rPr>
        <w:fldChar w:fldCharType="begin"/>
      </w:r>
      <w:r w:rsidR="00666271" w:rsidRPr="009759D3">
        <w:rPr>
          <w:sz w:val="20"/>
          <w:lang w:val="en-IN"/>
        </w:rPr>
        <w:instrText xml:space="preserve"> REF _Ref4963546 \r \h </w:instrText>
      </w:r>
      <w:r w:rsidR="00907DE5" w:rsidRPr="009759D3">
        <w:rPr>
          <w:sz w:val="20"/>
          <w:lang w:val="en-IN"/>
        </w:rPr>
        <w:instrText xml:space="preserve"> \* MERGEFORMAT </w:instrText>
      </w:r>
      <w:r w:rsidR="00666271" w:rsidRPr="009759D3">
        <w:rPr>
          <w:sz w:val="20"/>
          <w:lang w:val="en-IN"/>
        </w:rPr>
      </w:r>
      <w:r w:rsidR="00666271" w:rsidRPr="009759D3">
        <w:rPr>
          <w:sz w:val="20"/>
          <w:lang w:val="en-IN"/>
        </w:rPr>
        <w:fldChar w:fldCharType="separate"/>
      </w:r>
      <w:r w:rsidR="00497532" w:rsidRPr="009759D3">
        <w:rPr>
          <w:sz w:val="20"/>
          <w:lang w:val="en-IN"/>
        </w:rPr>
        <w:t>[1]</w:t>
      </w:r>
      <w:r w:rsidR="00666271" w:rsidRPr="009759D3">
        <w:rPr>
          <w:sz w:val="20"/>
          <w:lang w:val="en-IN"/>
        </w:rPr>
        <w:fldChar w:fldCharType="end"/>
      </w:r>
      <w:r w:rsidR="00666271" w:rsidRPr="009759D3">
        <w:rPr>
          <w:sz w:val="20"/>
          <w:lang w:val="en-IN"/>
        </w:rPr>
        <w:t>.</w:t>
      </w:r>
    </w:p>
    <w:p w14:paraId="49139ECE" w14:textId="77777777" w:rsidR="002820B0" w:rsidRPr="009759D3" w:rsidRDefault="002820B0" w:rsidP="009759D3">
      <w:pPr>
        <w:pStyle w:val="Heading1"/>
      </w:pPr>
      <w:r w:rsidRPr="009759D3">
        <w:t>2</w:t>
      </w:r>
      <w:r w:rsidRPr="009759D3">
        <w:tab/>
        <w:t>Discussion</w:t>
      </w:r>
      <w:bookmarkEnd w:id="1"/>
    </w:p>
    <w:p w14:paraId="04919469" w14:textId="44D6DFBB" w:rsidR="00F44E35" w:rsidRPr="00D87F71" w:rsidRDefault="00FC5126" w:rsidP="00A47394">
      <w:pPr>
        <w:pStyle w:val="BodyText"/>
        <w:rPr>
          <w:sz w:val="20"/>
          <w:szCs w:val="20"/>
          <w:lang w:val="en-US"/>
        </w:rPr>
      </w:pPr>
      <w:r w:rsidRPr="000F7EB1">
        <w:rPr>
          <w:sz w:val="20"/>
          <w:lang w:val="en-US"/>
        </w:rPr>
        <w:t xml:space="preserve">In general, SL CSI report </w:t>
      </w:r>
      <w:r w:rsidR="00C129E1" w:rsidRPr="000F7EB1">
        <w:rPr>
          <w:sz w:val="20"/>
          <w:lang w:val="en-US"/>
        </w:rPr>
        <w:t xml:space="preserve">forwarding to gNB </w:t>
      </w:r>
      <w:r w:rsidRPr="000F7EB1">
        <w:rPr>
          <w:sz w:val="20"/>
          <w:lang w:val="en-US"/>
        </w:rPr>
        <w:t>can</w:t>
      </w:r>
      <w:r w:rsidR="00F44E35" w:rsidRPr="000F7EB1">
        <w:rPr>
          <w:sz w:val="20"/>
          <w:lang w:val="en-US"/>
        </w:rPr>
        <w:t xml:space="preserve"> be triggered by Tx UE, Rx UE, or the gNB. For Mode-1, since gNB determines resources and potentially also transmission parameters such as MCS for SL, it is natural </w:t>
      </w:r>
      <w:r w:rsidR="00A82A69" w:rsidRPr="000F7EB1">
        <w:rPr>
          <w:sz w:val="20"/>
          <w:lang w:val="en-US"/>
        </w:rPr>
        <w:t>that</w:t>
      </w:r>
      <w:r w:rsidR="00F44E35" w:rsidRPr="000F7EB1">
        <w:rPr>
          <w:sz w:val="20"/>
          <w:lang w:val="en-US"/>
        </w:rPr>
        <w:t xml:space="preserve"> gNB </w:t>
      </w:r>
      <w:r w:rsidR="0038385D" w:rsidRPr="00D87F71">
        <w:rPr>
          <w:sz w:val="20"/>
          <w:szCs w:val="20"/>
          <w:lang w:val="en-US"/>
        </w:rPr>
        <w:t>request</w:t>
      </w:r>
      <w:r w:rsidR="00A82A69" w:rsidRPr="00D87F71">
        <w:rPr>
          <w:sz w:val="20"/>
          <w:szCs w:val="20"/>
          <w:lang w:val="en-US"/>
        </w:rPr>
        <w:t>s</w:t>
      </w:r>
      <w:r w:rsidR="00F44E35" w:rsidRPr="00D87F71">
        <w:rPr>
          <w:sz w:val="20"/>
          <w:szCs w:val="20"/>
          <w:lang w:val="en-US"/>
        </w:rPr>
        <w:t xml:space="preserve"> SL CSI report when needed.</w:t>
      </w:r>
      <w:r w:rsidR="00A47394" w:rsidRPr="00D87F71">
        <w:rPr>
          <w:sz w:val="20"/>
          <w:szCs w:val="20"/>
          <w:lang w:val="en-US"/>
        </w:rPr>
        <w:t xml:space="preserve"> This is also consistent with the principle of CSI report in NR Uu.</w:t>
      </w:r>
      <w:r w:rsidR="00F44E35" w:rsidRPr="00D87F71">
        <w:rPr>
          <w:sz w:val="20"/>
          <w:szCs w:val="20"/>
          <w:lang w:val="en-US"/>
        </w:rPr>
        <w:t xml:space="preserve"> In this</w:t>
      </w:r>
      <w:r w:rsidR="0038385D" w:rsidRPr="00D87F71">
        <w:rPr>
          <w:sz w:val="20"/>
          <w:szCs w:val="20"/>
          <w:lang w:val="en-US"/>
        </w:rPr>
        <w:t xml:space="preserve"> way, the triggering design is much simpler compared to the case of Tx/Rx UE triggering. </w:t>
      </w:r>
      <w:r w:rsidR="00A47394" w:rsidRPr="00D87F71">
        <w:rPr>
          <w:sz w:val="20"/>
          <w:szCs w:val="20"/>
          <w:lang w:val="en-US"/>
        </w:rPr>
        <w:t xml:space="preserve">There is no need to design new SR for a UE to request resources for reporting SL CSI to the gNB. </w:t>
      </w:r>
      <w:r w:rsidR="0038385D" w:rsidRPr="00D87F71">
        <w:rPr>
          <w:sz w:val="20"/>
          <w:szCs w:val="20"/>
          <w:lang w:val="en-US"/>
        </w:rPr>
        <w:t>More specifically,</w:t>
      </w:r>
      <w:r w:rsidR="00A47394" w:rsidRPr="00D87F71">
        <w:rPr>
          <w:sz w:val="20"/>
          <w:szCs w:val="20"/>
          <w:lang w:val="en-US"/>
        </w:rPr>
        <w:t xml:space="preserve"> as in NR Uu,</w:t>
      </w:r>
      <w:r w:rsidR="0038385D" w:rsidRPr="00D87F71">
        <w:rPr>
          <w:sz w:val="20"/>
          <w:szCs w:val="20"/>
          <w:lang w:val="en-US"/>
        </w:rPr>
        <w:t xml:space="preserve"> </w:t>
      </w:r>
      <w:r w:rsidR="001F58E3" w:rsidRPr="00D87F71">
        <w:rPr>
          <w:sz w:val="20"/>
          <w:szCs w:val="20"/>
          <w:lang w:val="en-US"/>
        </w:rPr>
        <w:t xml:space="preserve">when the gNB wants to </w:t>
      </w:r>
      <w:r w:rsidR="00EE5B88" w:rsidRPr="00D87F71">
        <w:rPr>
          <w:sz w:val="20"/>
          <w:szCs w:val="20"/>
          <w:lang w:val="en-US"/>
        </w:rPr>
        <w:t>utilize</w:t>
      </w:r>
      <w:r w:rsidR="001F58E3" w:rsidRPr="00D87F71">
        <w:rPr>
          <w:sz w:val="20"/>
          <w:szCs w:val="20"/>
          <w:lang w:val="en-US"/>
        </w:rPr>
        <w:t xml:space="preserve"> SL channel information to determine more proper transmission parameters, such as rank and MCS, it</w:t>
      </w:r>
      <w:r w:rsidR="00252E7E" w:rsidRPr="00D87F71">
        <w:rPr>
          <w:sz w:val="20"/>
          <w:szCs w:val="20"/>
          <w:lang w:val="en-US"/>
        </w:rPr>
        <w:t xml:space="preserve"> </w:t>
      </w:r>
      <w:r w:rsidR="00A47394" w:rsidRPr="00D87F71">
        <w:rPr>
          <w:sz w:val="20"/>
          <w:szCs w:val="20"/>
          <w:lang w:val="en-US"/>
        </w:rPr>
        <w:t>includes a request in DCI to trigger the report.</w:t>
      </w:r>
      <w:r w:rsidR="0053443B" w:rsidRPr="00D87F71">
        <w:rPr>
          <w:sz w:val="20"/>
          <w:szCs w:val="20"/>
          <w:lang w:val="en-US"/>
        </w:rPr>
        <w:t xml:space="preserve"> The granted resource of reporting CSI over UL is included in the DCI as well.</w:t>
      </w:r>
      <w:r w:rsidR="00A47394" w:rsidRPr="00D87F71">
        <w:rPr>
          <w:sz w:val="20"/>
          <w:szCs w:val="20"/>
          <w:lang w:val="en-US"/>
        </w:rPr>
        <w:t xml:space="preserve"> </w:t>
      </w:r>
      <w:r w:rsidR="00076847" w:rsidRPr="00D87F71">
        <w:rPr>
          <w:sz w:val="20"/>
          <w:szCs w:val="20"/>
          <w:lang w:val="en-US"/>
        </w:rPr>
        <w:t>Then, the UE will transmit the SL CSI report to the gNB using the granted resource.</w:t>
      </w:r>
    </w:p>
    <w:p w14:paraId="45B9EBAD" w14:textId="15787833" w:rsidR="00F44E35" w:rsidRPr="00D87F71" w:rsidRDefault="00024001" w:rsidP="00D87F71">
      <w:pPr>
        <w:pStyle w:val="Proposal"/>
        <w:rPr>
          <w:sz w:val="20"/>
          <w:szCs w:val="20"/>
        </w:rPr>
      </w:pPr>
      <w:bookmarkStart w:id="2" w:name="_Toc7810682"/>
      <w:r w:rsidRPr="00D87F71">
        <w:rPr>
          <w:sz w:val="20"/>
          <w:szCs w:val="20"/>
        </w:rPr>
        <w:t>For Mode-1</w:t>
      </w:r>
      <w:r w:rsidR="008A3A6F" w:rsidRPr="00D87F71">
        <w:rPr>
          <w:sz w:val="20"/>
          <w:szCs w:val="20"/>
        </w:rPr>
        <w:t xml:space="preserve"> operation</w:t>
      </w:r>
      <w:r w:rsidRPr="00D87F71">
        <w:rPr>
          <w:sz w:val="20"/>
          <w:szCs w:val="20"/>
        </w:rPr>
        <w:t>, gNB triggers SL CSI report</w:t>
      </w:r>
      <w:r w:rsidR="00196F80" w:rsidRPr="00D87F71">
        <w:rPr>
          <w:sz w:val="20"/>
          <w:szCs w:val="20"/>
        </w:rPr>
        <w:t xml:space="preserve"> and grants UL resource</w:t>
      </w:r>
      <w:r w:rsidR="0065213C" w:rsidRPr="00D87F71">
        <w:rPr>
          <w:sz w:val="20"/>
          <w:szCs w:val="20"/>
        </w:rPr>
        <w:t>s</w:t>
      </w:r>
      <w:r w:rsidR="00196F80" w:rsidRPr="00D87F71">
        <w:rPr>
          <w:sz w:val="20"/>
          <w:szCs w:val="20"/>
        </w:rPr>
        <w:t xml:space="preserve"> for sending report to the gNB, as in NR Uu</w:t>
      </w:r>
      <w:r w:rsidRPr="00D87F71">
        <w:rPr>
          <w:sz w:val="20"/>
          <w:szCs w:val="20"/>
        </w:rPr>
        <w:t>.</w:t>
      </w:r>
      <w:bookmarkStart w:id="3" w:name="_Toc7649352"/>
      <w:bookmarkStart w:id="4" w:name="_Toc7649394"/>
      <w:bookmarkStart w:id="5" w:name="_Toc7649412"/>
      <w:bookmarkStart w:id="6" w:name="_Toc7649481"/>
      <w:bookmarkStart w:id="7" w:name="_Toc7649353"/>
      <w:bookmarkStart w:id="8" w:name="_Toc7649395"/>
      <w:bookmarkStart w:id="9" w:name="_Toc7649413"/>
      <w:bookmarkStart w:id="10" w:name="_Toc7649482"/>
      <w:bookmarkEnd w:id="2"/>
      <w:bookmarkEnd w:id="3"/>
      <w:bookmarkEnd w:id="4"/>
      <w:bookmarkEnd w:id="5"/>
      <w:bookmarkEnd w:id="6"/>
      <w:bookmarkEnd w:id="7"/>
      <w:bookmarkEnd w:id="8"/>
      <w:bookmarkEnd w:id="9"/>
      <w:bookmarkEnd w:id="10"/>
    </w:p>
    <w:p w14:paraId="080FC61F" w14:textId="51EEB5D4" w:rsidR="00C20862" w:rsidRPr="00D87F71" w:rsidRDefault="00E46233" w:rsidP="00C20862">
      <w:pPr>
        <w:pStyle w:val="Caption"/>
        <w:rPr>
          <w:rFonts w:ascii="Arial" w:hAnsi="Arial"/>
          <w:b w:val="0"/>
          <w:sz w:val="20"/>
          <w:szCs w:val="20"/>
          <w:lang w:eastAsia="zh-CN"/>
        </w:rPr>
      </w:pPr>
      <w:r w:rsidRPr="00D87F71">
        <w:rPr>
          <w:rFonts w:ascii="Arial" w:hAnsi="Arial"/>
          <w:b w:val="0"/>
          <w:sz w:val="20"/>
          <w:szCs w:val="20"/>
          <w:lang w:val="en-US" w:eastAsia="zh-CN"/>
        </w:rPr>
        <w:t xml:space="preserve">When both Tx UE and Rx UE are in the coverage of the same gNB, gNB can trigger either of them to send SL CSI report. </w:t>
      </w:r>
      <w:r w:rsidR="004343E8" w:rsidRPr="00D87F71">
        <w:rPr>
          <w:rFonts w:ascii="Arial" w:hAnsi="Arial"/>
          <w:b w:val="0"/>
          <w:sz w:val="20"/>
          <w:szCs w:val="20"/>
          <w:lang w:eastAsia="zh-CN"/>
        </w:rPr>
        <w:t xml:space="preserve">The two options are illustrated in </w:t>
      </w:r>
      <w:r w:rsidR="00C20862" w:rsidRPr="00D87F71">
        <w:rPr>
          <w:rFonts w:ascii="Arial" w:hAnsi="Arial"/>
          <w:b w:val="0"/>
          <w:sz w:val="20"/>
          <w:szCs w:val="20"/>
          <w:lang w:eastAsia="zh-CN"/>
        </w:rPr>
        <w:fldChar w:fldCharType="begin"/>
      </w:r>
      <w:r w:rsidR="00C20862" w:rsidRPr="00D87F71">
        <w:rPr>
          <w:rFonts w:ascii="Arial" w:hAnsi="Arial"/>
          <w:b w:val="0"/>
          <w:sz w:val="20"/>
          <w:szCs w:val="20"/>
          <w:lang w:eastAsia="zh-CN"/>
        </w:rPr>
        <w:instrText xml:space="preserve"> REF _Ref7299679 \h </w:instrText>
      </w:r>
      <w:r w:rsidR="00907DE5" w:rsidRPr="00D87F71">
        <w:rPr>
          <w:rFonts w:ascii="Arial" w:hAnsi="Arial"/>
          <w:b w:val="0"/>
          <w:sz w:val="20"/>
          <w:szCs w:val="20"/>
          <w:lang w:eastAsia="zh-CN"/>
        </w:rPr>
        <w:instrText xml:space="preserve"> \* MERGEFORMAT </w:instrText>
      </w:r>
      <w:r w:rsidR="00C20862" w:rsidRPr="00D87F71">
        <w:rPr>
          <w:rFonts w:ascii="Arial" w:hAnsi="Arial"/>
          <w:b w:val="0"/>
          <w:sz w:val="20"/>
          <w:szCs w:val="20"/>
          <w:lang w:eastAsia="zh-CN"/>
        </w:rPr>
      </w:r>
      <w:r w:rsidR="00C20862" w:rsidRPr="00D87F71">
        <w:rPr>
          <w:rFonts w:ascii="Arial" w:hAnsi="Arial"/>
          <w:b w:val="0"/>
          <w:sz w:val="20"/>
          <w:szCs w:val="20"/>
          <w:lang w:eastAsia="zh-CN"/>
        </w:rPr>
        <w:fldChar w:fldCharType="separate"/>
      </w:r>
      <w:r w:rsidR="00635790" w:rsidRPr="00D87F71">
        <w:rPr>
          <w:b w:val="0"/>
          <w:sz w:val="20"/>
          <w:szCs w:val="20"/>
        </w:rPr>
        <w:t xml:space="preserve">Figure </w:t>
      </w:r>
      <w:r w:rsidR="00635790" w:rsidRPr="00D87F71">
        <w:rPr>
          <w:b w:val="0"/>
          <w:noProof/>
          <w:sz w:val="20"/>
          <w:szCs w:val="20"/>
        </w:rPr>
        <w:t>1</w:t>
      </w:r>
      <w:r w:rsidR="00C20862" w:rsidRPr="00D87F71">
        <w:rPr>
          <w:rFonts w:ascii="Arial" w:hAnsi="Arial"/>
          <w:b w:val="0"/>
          <w:sz w:val="20"/>
          <w:szCs w:val="20"/>
          <w:lang w:eastAsia="zh-CN"/>
        </w:rPr>
        <w:fldChar w:fldCharType="end"/>
      </w:r>
      <w:r w:rsidR="00C20862" w:rsidRPr="00D87F71">
        <w:rPr>
          <w:rFonts w:ascii="Arial" w:hAnsi="Arial"/>
          <w:b w:val="0"/>
          <w:sz w:val="20"/>
          <w:szCs w:val="20"/>
          <w:lang w:eastAsia="zh-CN"/>
        </w:rPr>
        <w:t>.</w:t>
      </w:r>
    </w:p>
    <w:p w14:paraId="3683F8EE" w14:textId="77777777" w:rsidR="00C20862" w:rsidRPr="009759D3" w:rsidRDefault="00C20862" w:rsidP="00C20862">
      <w:pPr>
        <w:pStyle w:val="Caption"/>
        <w:rPr>
          <w:rFonts w:ascii="Arial" w:hAnsi="Arial"/>
          <w:b w:val="0"/>
          <w:sz w:val="20"/>
          <w:lang w:eastAsia="zh-CN"/>
        </w:rPr>
      </w:pPr>
    </w:p>
    <w:p w14:paraId="1E405474" w14:textId="6948B58E" w:rsidR="00421BC3" w:rsidRPr="009759D3" w:rsidRDefault="00F12A37" w:rsidP="000856F0">
      <w:pPr>
        <w:pStyle w:val="BodyText"/>
        <w:jc w:val="center"/>
        <w:rPr>
          <w:sz w:val="20"/>
        </w:rPr>
      </w:pPr>
      <w:r w:rsidRPr="009759D3">
        <w:rPr>
          <w:noProof/>
          <w:sz w:val="20"/>
        </w:rPr>
        <w:drawing>
          <wp:inline distT="0" distB="0" distL="0" distR="0" wp14:anchorId="303A6A9D" wp14:editId="0BC26286">
            <wp:extent cx="2355850" cy="1973725"/>
            <wp:effectExtent l="0" t="0" r="635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77211" cy="1991621"/>
                    </a:xfrm>
                    <a:prstGeom prst="rect">
                      <a:avLst/>
                    </a:prstGeom>
                    <a:noFill/>
                    <a:ln>
                      <a:noFill/>
                    </a:ln>
                  </pic:spPr>
                </pic:pic>
              </a:graphicData>
            </a:graphic>
          </wp:inline>
        </w:drawing>
      </w:r>
      <w:r w:rsidR="000856F0" w:rsidRPr="009759D3">
        <w:rPr>
          <w:sz w:val="20"/>
        </w:rPr>
        <w:t xml:space="preserve">            </w:t>
      </w:r>
      <w:r w:rsidR="000856F0" w:rsidRPr="009759D3">
        <w:rPr>
          <w:noProof/>
          <w:sz w:val="20"/>
        </w:rPr>
        <w:drawing>
          <wp:inline distT="0" distB="0" distL="0" distR="0" wp14:anchorId="64730A3D" wp14:editId="2C5CBA9A">
            <wp:extent cx="2432435" cy="198120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38947" cy="1986504"/>
                    </a:xfrm>
                    <a:prstGeom prst="rect">
                      <a:avLst/>
                    </a:prstGeom>
                    <a:noFill/>
                    <a:ln>
                      <a:noFill/>
                    </a:ln>
                  </pic:spPr>
                </pic:pic>
              </a:graphicData>
            </a:graphic>
          </wp:inline>
        </w:drawing>
      </w:r>
    </w:p>
    <w:p w14:paraId="7A58C041" w14:textId="101B9920" w:rsidR="00F12A37" w:rsidRPr="009759D3" w:rsidRDefault="00713B98" w:rsidP="00F12A37">
      <w:pPr>
        <w:pStyle w:val="Caption"/>
        <w:numPr>
          <w:ilvl w:val="0"/>
          <w:numId w:val="36"/>
        </w:numPr>
        <w:rPr>
          <w:sz w:val="20"/>
        </w:rPr>
      </w:pPr>
      <w:bookmarkStart w:id="11" w:name="_Ref7297310"/>
      <w:r w:rsidRPr="009759D3">
        <w:rPr>
          <w:sz w:val="20"/>
        </w:rPr>
        <w:t xml:space="preserve">    </w:t>
      </w:r>
      <w:r w:rsidR="00F12A37" w:rsidRPr="009759D3">
        <w:rPr>
          <w:sz w:val="20"/>
        </w:rPr>
        <w:t xml:space="preserve">                                           (b)</w:t>
      </w:r>
    </w:p>
    <w:p w14:paraId="2EA05453" w14:textId="41B13F6E" w:rsidR="004343E8" w:rsidRPr="000F7EB1" w:rsidRDefault="00421BC3" w:rsidP="00F12A37">
      <w:pPr>
        <w:pStyle w:val="Caption"/>
        <w:jc w:val="center"/>
        <w:rPr>
          <w:sz w:val="20"/>
          <w:lang w:val="en-US"/>
        </w:rPr>
      </w:pPr>
      <w:bookmarkStart w:id="12" w:name="_Ref7299679"/>
      <w:r w:rsidRPr="000F7EB1">
        <w:rPr>
          <w:sz w:val="20"/>
          <w:lang w:val="en-US"/>
        </w:rPr>
        <w:t xml:space="preserve">Figure </w:t>
      </w:r>
      <w:r w:rsidR="00847B5B" w:rsidRPr="009759D3">
        <w:rPr>
          <w:noProof/>
          <w:sz w:val="20"/>
        </w:rPr>
        <w:fldChar w:fldCharType="begin"/>
      </w:r>
      <w:r w:rsidR="00847B5B" w:rsidRPr="000F7EB1">
        <w:rPr>
          <w:noProof/>
          <w:sz w:val="20"/>
          <w:lang w:val="en-US"/>
        </w:rPr>
        <w:instrText xml:space="preserve"> SEQ Figure \* ARABIC </w:instrText>
      </w:r>
      <w:r w:rsidR="00847B5B" w:rsidRPr="009759D3">
        <w:rPr>
          <w:noProof/>
          <w:sz w:val="20"/>
        </w:rPr>
        <w:fldChar w:fldCharType="separate"/>
      </w:r>
      <w:r w:rsidR="00635790" w:rsidRPr="000F7EB1">
        <w:rPr>
          <w:noProof/>
          <w:sz w:val="20"/>
          <w:lang w:val="en-US"/>
        </w:rPr>
        <w:t>1</w:t>
      </w:r>
      <w:r w:rsidR="00847B5B" w:rsidRPr="009759D3">
        <w:rPr>
          <w:noProof/>
          <w:sz w:val="20"/>
        </w:rPr>
        <w:fldChar w:fldCharType="end"/>
      </w:r>
      <w:bookmarkEnd w:id="11"/>
      <w:bookmarkEnd w:id="12"/>
      <w:r w:rsidR="00726677" w:rsidRPr="000F7EB1">
        <w:rPr>
          <w:noProof/>
          <w:sz w:val="20"/>
          <w:lang w:val="en-US"/>
        </w:rPr>
        <w:t>:</w:t>
      </w:r>
      <w:r w:rsidRPr="000F7EB1">
        <w:rPr>
          <w:sz w:val="20"/>
          <w:lang w:val="en-US"/>
        </w:rPr>
        <w:t xml:space="preserve"> </w:t>
      </w:r>
      <w:r w:rsidR="00F12A37" w:rsidRPr="000F7EB1">
        <w:rPr>
          <w:sz w:val="20"/>
          <w:lang w:val="en-US"/>
        </w:rPr>
        <w:t>Two options of sending</w:t>
      </w:r>
      <w:r w:rsidR="004343E8" w:rsidRPr="000F7EB1">
        <w:rPr>
          <w:sz w:val="20"/>
          <w:lang w:val="en-US"/>
        </w:rPr>
        <w:t xml:space="preserve"> </w:t>
      </w:r>
      <w:r w:rsidRPr="000F7EB1">
        <w:rPr>
          <w:sz w:val="20"/>
          <w:lang w:val="en-US"/>
        </w:rPr>
        <w:t xml:space="preserve">SL CSI </w:t>
      </w:r>
      <w:r w:rsidR="004343E8" w:rsidRPr="000F7EB1">
        <w:rPr>
          <w:sz w:val="20"/>
          <w:lang w:val="en-US"/>
        </w:rPr>
        <w:t xml:space="preserve">report </w:t>
      </w:r>
      <w:r w:rsidRPr="000F7EB1">
        <w:rPr>
          <w:sz w:val="20"/>
          <w:lang w:val="en-US"/>
        </w:rPr>
        <w:t>to gNB</w:t>
      </w:r>
      <w:r w:rsidR="00F12A37" w:rsidRPr="000F7EB1">
        <w:rPr>
          <w:sz w:val="20"/>
          <w:lang w:val="en-US"/>
        </w:rPr>
        <w:t xml:space="preserve">. (a) </w:t>
      </w:r>
      <w:r w:rsidR="000856F0" w:rsidRPr="000F7EB1">
        <w:rPr>
          <w:sz w:val="20"/>
          <w:lang w:val="en-US"/>
        </w:rPr>
        <w:t>R</w:t>
      </w:r>
      <w:r w:rsidR="00F12A37" w:rsidRPr="000F7EB1">
        <w:rPr>
          <w:sz w:val="20"/>
          <w:lang w:val="en-US"/>
        </w:rPr>
        <w:t xml:space="preserve">x UE sending CSI report; (b) </w:t>
      </w:r>
      <w:r w:rsidR="000856F0" w:rsidRPr="000F7EB1">
        <w:rPr>
          <w:sz w:val="20"/>
          <w:lang w:val="en-US"/>
        </w:rPr>
        <w:t>T</w:t>
      </w:r>
      <w:r w:rsidR="00F12A37" w:rsidRPr="000F7EB1">
        <w:rPr>
          <w:sz w:val="20"/>
          <w:lang w:val="en-US"/>
        </w:rPr>
        <w:t>x UE sending CSI report</w:t>
      </w:r>
    </w:p>
    <w:p w14:paraId="4A91B1E3" w14:textId="36018373" w:rsidR="000856F0" w:rsidRPr="000F7EB1" w:rsidRDefault="000856F0" w:rsidP="00907DE5">
      <w:pPr>
        <w:jc w:val="both"/>
        <w:rPr>
          <w:rFonts w:ascii="Arial" w:hAnsi="Arial"/>
          <w:sz w:val="20"/>
          <w:lang w:val="en-US"/>
        </w:rPr>
      </w:pPr>
      <w:r w:rsidRPr="000F7EB1">
        <w:rPr>
          <w:rFonts w:ascii="Arial" w:hAnsi="Arial"/>
          <w:sz w:val="20"/>
          <w:lang w:val="en-US"/>
        </w:rPr>
        <w:t xml:space="preserve">For the case of Rx UE sending </w:t>
      </w:r>
      <w:r w:rsidRPr="000F7EB1">
        <w:rPr>
          <w:rFonts w:ascii="Arial" w:hAnsi="Arial" w:cs="Arial"/>
          <w:sz w:val="20"/>
          <w:lang w:val="en-US"/>
        </w:rPr>
        <w:t>SL CSI report, i.e</w:t>
      </w:r>
      <w:r w:rsidRPr="000F7EB1">
        <w:rPr>
          <w:rFonts w:ascii="Arial" w:hAnsi="Arial" w:cs="Arial"/>
          <w:b/>
          <w:sz w:val="20"/>
          <w:lang w:val="en-US" w:eastAsia="en-GB"/>
        </w:rPr>
        <w:t>.,</w:t>
      </w:r>
      <w:r w:rsidR="00C20862" w:rsidRPr="000F7EB1">
        <w:rPr>
          <w:rFonts w:ascii="Arial" w:hAnsi="Arial" w:cs="Arial"/>
          <w:b/>
          <w:sz w:val="20"/>
          <w:lang w:val="en-US" w:eastAsia="en-GB"/>
        </w:rPr>
        <w:t xml:space="preserve"> </w:t>
      </w:r>
      <w:r w:rsidR="00C20862" w:rsidRPr="000F7EB1">
        <w:rPr>
          <w:rFonts w:ascii="Arial" w:hAnsi="Arial" w:cs="Arial"/>
          <w:sz w:val="20"/>
          <w:lang w:eastAsia="en-GB"/>
        </w:rPr>
        <w:fldChar w:fldCharType="begin"/>
      </w:r>
      <w:r w:rsidR="00C20862" w:rsidRPr="000F7EB1">
        <w:rPr>
          <w:rFonts w:ascii="Arial" w:hAnsi="Arial" w:cs="Arial"/>
          <w:sz w:val="20"/>
          <w:lang w:val="en-US" w:eastAsia="en-GB"/>
        </w:rPr>
        <w:instrText xml:space="preserve"> REF _Ref7299679 \h </w:instrText>
      </w:r>
      <w:r w:rsidR="005743EB" w:rsidRPr="000F7EB1">
        <w:rPr>
          <w:rFonts w:ascii="Arial" w:hAnsi="Arial" w:cs="Arial"/>
          <w:sz w:val="20"/>
          <w:lang w:val="en-US" w:eastAsia="en-GB"/>
        </w:rPr>
        <w:instrText xml:space="preserve"> \* MERGEFORMAT </w:instrText>
      </w:r>
      <w:r w:rsidR="00C20862" w:rsidRPr="000F7EB1">
        <w:rPr>
          <w:rFonts w:ascii="Arial" w:hAnsi="Arial" w:cs="Arial"/>
          <w:sz w:val="20"/>
          <w:lang w:eastAsia="en-GB"/>
        </w:rPr>
      </w:r>
      <w:r w:rsidR="00C20862" w:rsidRPr="000F7EB1">
        <w:rPr>
          <w:rFonts w:ascii="Arial" w:hAnsi="Arial" w:cs="Arial"/>
          <w:sz w:val="20"/>
          <w:lang w:eastAsia="en-GB"/>
        </w:rPr>
        <w:fldChar w:fldCharType="separate"/>
      </w:r>
      <w:r w:rsidR="004715FD" w:rsidRPr="000F7EB1">
        <w:rPr>
          <w:rFonts w:ascii="Arial" w:hAnsi="Arial" w:cs="Arial"/>
          <w:sz w:val="20"/>
          <w:lang w:val="en-US" w:eastAsia="en-GB"/>
        </w:rPr>
        <w:t>Figure 1</w:t>
      </w:r>
      <w:r w:rsidR="00C20862" w:rsidRPr="000F7EB1">
        <w:rPr>
          <w:rFonts w:ascii="Arial" w:hAnsi="Arial" w:cs="Arial"/>
          <w:sz w:val="20"/>
          <w:lang w:eastAsia="en-GB"/>
        </w:rPr>
        <w:fldChar w:fldCharType="end"/>
      </w:r>
      <w:r w:rsidR="00C20862" w:rsidRPr="000F7EB1">
        <w:rPr>
          <w:rFonts w:ascii="Arial" w:hAnsi="Arial" w:cs="Arial"/>
          <w:sz w:val="20"/>
          <w:lang w:val="en-US" w:eastAsia="en-GB"/>
        </w:rPr>
        <w:t>(a), c</w:t>
      </w:r>
      <w:r w:rsidRPr="000F7EB1">
        <w:rPr>
          <w:rFonts w:ascii="Arial" w:hAnsi="Arial" w:cs="Arial"/>
          <w:sz w:val="20"/>
          <w:lang w:val="en-US" w:eastAsia="en-GB"/>
        </w:rPr>
        <w:t>learly</w:t>
      </w:r>
      <w:r w:rsidRPr="000F7EB1">
        <w:rPr>
          <w:rFonts w:ascii="Arial" w:hAnsi="Arial" w:cs="Arial"/>
          <w:sz w:val="20"/>
          <w:lang w:val="en-US"/>
        </w:rPr>
        <w:t xml:space="preserve"> it has the advantage of lower latency, since it doesn’t need to first feedback the CSI report to the Tx UE. Correspondingly, it incurs lower overhead as well. However, it cannot work when </w:t>
      </w:r>
      <w:r w:rsidR="00DC2A9F" w:rsidRPr="000F7EB1">
        <w:rPr>
          <w:rFonts w:ascii="Arial" w:hAnsi="Arial" w:cs="Arial"/>
          <w:sz w:val="20"/>
          <w:lang w:val="en-US"/>
        </w:rPr>
        <w:t xml:space="preserve">either </w:t>
      </w:r>
      <w:r w:rsidRPr="000F7EB1">
        <w:rPr>
          <w:rFonts w:ascii="Arial" w:hAnsi="Arial" w:cs="Arial"/>
          <w:sz w:val="20"/>
          <w:lang w:val="en-US"/>
        </w:rPr>
        <w:t xml:space="preserve">the Rx UE is out of network coverage (i.e., partial coverage scenario) or the Tx and Rx UEs are not connected to the same gNB. The latter </w:t>
      </w:r>
      <w:r w:rsidR="00DC2A9F" w:rsidRPr="000F7EB1">
        <w:rPr>
          <w:rFonts w:ascii="Arial" w:hAnsi="Arial" w:cs="Arial"/>
          <w:sz w:val="20"/>
          <w:lang w:val="en-US"/>
        </w:rPr>
        <w:t xml:space="preserve">issue may be resolved by inter-gNB signalling, which however can be problematic </w:t>
      </w:r>
      <w:r w:rsidR="004C22F4" w:rsidRPr="000F7EB1">
        <w:rPr>
          <w:rFonts w:ascii="Arial" w:hAnsi="Arial" w:cs="Arial"/>
          <w:sz w:val="20"/>
          <w:lang w:val="en-US"/>
        </w:rPr>
        <w:t>from</w:t>
      </w:r>
      <w:r w:rsidR="00DC2A9F" w:rsidRPr="000F7EB1">
        <w:rPr>
          <w:rFonts w:ascii="Arial" w:hAnsi="Arial" w:cs="Arial"/>
          <w:sz w:val="20"/>
          <w:lang w:val="en-US"/>
        </w:rPr>
        <w:t xml:space="preserve"> both latency and overhead</w:t>
      </w:r>
      <w:r w:rsidR="004C22F4" w:rsidRPr="000F7EB1">
        <w:rPr>
          <w:rFonts w:ascii="Arial" w:hAnsi="Arial" w:cs="Arial"/>
          <w:sz w:val="20"/>
          <w:lang w:val="en-US"/>
        </w:rPr>
        <w:t xml:space="preserve"> perspectives</w:t>
      </w:r>
      <w:r w:rsidR="00DC2A9F" w:rsidRPr="000F7EB1">
        <w:rPr>
          <w:rFonts w:ascii="Arial" w:hAnsi="Arial" w:cs="Arial"/>
          <w:sz w:val="20"/>
          <w:lang w:val="en-US"/>
        </w:rPr>
        <w:t>.</w:t>
      </w:r>
      <w:r w:rsidRPr="000F7EB1">
        <w:rPr>
          <w:rFonts w:ascii="Arial" w:hAnsi="Arial" w:cs="Arial"/>
          <w:sz w:val="20"/>
          <w:lang w:val="en-US"/>
        </w:rPr>
        <w:t xml:space="preserve"> </w:t>
      </w:r>
      <w:r w:rsidR="00E671EB" w:rsidRPr="000F7EB1">
        <w:rPr>
          <w:rFonts w:ascii="Arial" w:hAnsi="Arial" w:cs="Arial"/>
          <w:sz w:val="20"/>
          <w:lang w:val="en-US"/>
        </w:rPr>
        <w:t>Moreover, even though gNB sends request to SL Rx UE in this case,</w:t>
      </w:r>
      <w:r w:rsidR="00E671EB" w:rsidRPr="000F7EB1">
        <w:rPr>
          <w:rFonts w:ascii="Arial" w:hAnsi="Arial"/>
          <w:sz w:val="20"/>
          <w:lang w:val="en-US"/>
        </w:rPr>
        <w:t xml:space="preserve"> it may still need to trigger the Tx UE to transmit SL CSI-RS.</w:t>
      </w:r>
    </w:p>
    <w:p w14:paraId="4C689387" w14:textId="731CAD96" w:rsidR="00F12A37" w:rsidRPr="000F7EB1" w:rsidRDefault="004C22F4" w:rsidP="00F0069C">
      <w:pPr>
        <w:jc w:val="both"/>
        <w:rPr>
          <w:rFonts w:ascii="Arial" w:hAnsi="Arial"/>
          <w:sz w:val="20"/>
          <w:lang w:val="en-US"/>
        </w:rPr>
      </w:pPr>
      <w:r w:rsidRPr="000F7EB1">
        <w:rPr>
          <w:rFonts w:ascii="Arial" w:hAnsi="Arial"/>
          <w:sz w:val="20"/>
          <w:lang w:val="en-US"/>
        </w:rPr>
        <w:t>On the other hand, f</w:t>
      </w:r>
      <w:r w:rsidR="000856F0" w:rsidRPr="000F7EB1">
        <w:rPr>
          <w:rFonts w:ascii="Arial" w:hAnsi="Arial"/>
          <w:sz w:val="20"/>
          <w:lang w:val="en-US"/>
        </w:rPr>
        <w:t xml:space="preserve">or the case of Tx UE sending SL CSI report, i.e., </w:t>
      </w:r>
      <w:r w:rsidR="00C20862" w:rsidRPr="009759D3">
        <w:rPr>
          <w:rFonts w:ascii="Arial" w:hAnsi="Arial"/>
          <w:sz w:val="20"/>
        </w:rPr>
        <w:fldChar w:fldCharType="begin"/>
      </w:r>
      <w:r w:rsidR="00C20862" w:rsidRPr="000F7EB1">
        <w:rPr>
          <w:rFonts w:ascii="Arial" w:hAnsi="Arial"/>
          <w:sz w:val="20"/>
          <w:lang w:val="en-US"/>
        </w:rPr>
        <w:instrText xml:space="preserve"> REF _Ref7299679 \h </w:instrText>
      </w:r>
      <w:r w:rsidR="005743EB" w:rsidRPr="000F7EB1">
        <w:rPr>
          <w:rFonts w:ascii="Arial" w:hAnsi="Arial"/>
          <w:sz w:val="20"/>
          <w:lang w:val="en-US"/>
        </w:rPr>
        <w:instrText xml:space="preserve"> \* MERGEFORMAT </w:instrText>
      </w:r>
      <w:r w:rsidR="00C20862" w:rsidRPr="009759D3">
        <w:rPr>
          <w:rFonts w:ascii="Arial" w:hAnsi="Arial"/>
          <w:sz w:val="20"/>
        </w:rPr>
      </w:r>
      <w:r w:rsidR="00C20862" w:rsidRPr="009759D3">
        <w:rPr>
          <w:rFonts w:ascii="Arial" w:hAnsi="Arial"/>
          <w:sz w:val="20"/>
        </w:rPr>
        <w:fldChar w:fldCharType="separate"/>
      </w:r>
      <w:r w:rsidR="004715FD" w:rsidRPr="000F7EB1">
        <w:rPr>
          <w:rFonts w:ascii="Arial" w:hAnsi="Arial"/>
          <w:sz w:val="20"/>
          <w:lang w:val="en-US"/>
        </w:rPr>
        <w:t>Figure 1</w:t>
      </w:r>
      <w:r w:rsidR="00C20862" w:rsidRPr="009759D3">
        <w:rPr>
          <w:rFonts w:ascii="Arial" w:hAnsi="Arial"/>
          <w:sz w:val="20"/>
        </w:rPr>
        <w:fldChar w:fldCharType="end"/>
      </w:r>
      <w:r w:rsidR="00C20862" w:rsidRPr="000F7EB1">
        <w:rPr>
          <w:rFonts w:ascii="Arial" w:hAnsi="Arial"/>
          <w:sz w:val="20"/>
          <w:lang w:val="en-US"/>
        </w:rPr>
        <w:t>(b)</w:t>
      </w:r>
      <w:r w:rsidR="007F0934" w:rsidRPr="000F7EB1">
        <w:rPr>
          <w:rFonts w:ascii="Arial" w:hAnsi="Arial"/>
          <w:sz w:val="20"/>
          <w:lang w:val="en-US"/>
        </w:rPr>
        <w:t xml:space="preserve">, </w:t>
      </w:r>
      <w:r w:rsidR="00E671EB" w:rsidRPr="000F7EB1">
        <w:rPr>
          <w:rFonts w:ascii="Arial" w:hAnsi="Arial"/>
          <w:sz w:val="20"/>
          <w:lang w:val="en-US"/>
        </w:rPr>
        <w:t xml:space="preserve">it can work well irrespective of whether Tx and Rx UEs are in the coverage of the same gNB. However, it will bring longer latency and larger overhead due to the two-hop CSI report forwarding. </w:t>
      </w:r>
    </w:p>
    <w:p w14:paraId="34C487A7" w14:textId="6E161C9C" w:rsidR="00907DE5" w:rsidRPr="000F7EB1" w:rsidRDefault="00622299" w:rsidP="004343E8">
      <w:pPr>
        <w:rPr>
          <w:rFonts w:ascii="Arial" w:hAnsi="Arial"/>
          <w:sz w:val="20"/>
          <w:lang w:val="en-US"/>
        </w:rPr>
      </w:pPr>
      <w:r w:rsidRPr="000F7EB1">
        <w:rPr>
          <w:rFonts w:ascii="Arial" w:hAnsi="Arial"/>
          <w:sz w:val="20"/>
          <w:lang w:val="en-US"/>
        </w:rPr>
        <w:lastRenderedPageBreak/>
        <w:t xml:space="preserve">Based on the above analysis, we </w:t>
      </w:r>
      <w:r w:rsidR="00715DB6" w:rsidRPr="000F7EB1">
        <w:rPr>
          <w:rFonts w:ascii="Arial" w:hAnsi="Arial"/>
          <w:sz w:val="20"/>
          <w:lang w:val="en-US"/>
        </w:rPr>
        <w:t>see that there are both pros and cons of the two options. Hence in our view, both of the them should be with different applicable scenarios.</w:t>
      </w:r>
    </w:p>
    <w:p w14:paraId="59023047" w14:textId="38587A6A" w:rsidR="00715DB6" w:rsidRPr="00D87F71" w:rsidRDefault="00715DB6" w:rsidP="00D87F71">
      <w:pPr>
        <w:pStyle w:val="Proposal"/>
        <w:rPr>
          <w:sz w:val="20"/>
          <w:szCs w:val="20"/>
          <w:lang w:val="en-US"/>
        </w:rPr>
      </w:pPr>
      <w:bookmarkStart w:id="13" w:name="_Toc7810683"/>
      <w:r w:rsidRPr="00D87F71">
        <w:rPr>
          <w:sz w:val="20"/>
          <w:szCs w:val="20"/>
          <w:lang w:val="en-US"/>
        </w:rPr>
        <w:t>Both of the following options should be supported.</w:t>
      </w:r>
      <w:bookmarkEnd w:id="13"/>
    </w:p>
    <w:p w14:paraId="355CFDCA" w14:textId="494FE851" w:rsidR="007A1773" w:rsidRPr="00D87F71" w:rsidRDefault="007A1773" w:rsidP="00D87F71">
      <w:pPr>
        <w:pStyle w:val="Proposal"/>
        <w:numPr>
          <w:ilvl w:val="0"/>
          <w:numId w:val="38"/>
        </w:numPr>
        <w:rPr>
          <w:sz w:val="20"/>
          <w:szCs w:val="20"/>
        </w:rPr>
      </w:pPr>
      <w:bookmarkStart w:id="14" w:name="_Toc7810684"/>
      <w:r w:rsidRPr="00D87F71">
        <w:rPr>
          <w:sz w:val="20"/>
          <w:szCs w:val="20"/>
        </w:rPr>
        <w:t>Option 1: gNB triggers Rx UE to send SL CSI report if both Tx UE and Rx UE are under same gNB coverage</w:t>
      </w:r>
      <w:r w:rsidR="004715FD" w:rsidRPr="00D87F71">
        <w:rPr>
          <w:sz w:val="20"/>
          <w:szCs w:val="20"/>
        </w:rPr>
        <w:t>.</w:t>
      </w:r>
      <w:bookmarkEnd w:id="14"/>
    </w:p>
    <w:p w14:paraId="4F33C38C" w14:textId="1F5DA741" w:rsidR="00715DB6" w:rsidRPr="00D87F71" w:rsidRDefault="007A1773" w:rsidP="00D87F71">
      <w:pPr>
        <w:pStyle w:val="Proposal"/>
        <w:numPr>
          <w:ilvl w:val="0"/>
          <w:numId w:val="38"/>
        </w:numPr>
        <w:rPr>
          <w:sz w:val="20"/>
          <w:szCs w:val="20"/>
        </w:rPr>
      </w:pPr>
      <w:bookmarkStart w:id="15" w:name="_Toc7810685"/>
      <w:r w:rsidRPr="00D87F71">
        <w:rPr>
          <w:sz w:val="20"/>
          <w:szCs w:val="20"/>
        </w:rPr>
        <w:t>Option 2:</w:t>
      </w:r>
      <w:r w:rsidR="004715FD" w:rsidRPr="00D87F71">
        <w:rPr>
          <w:sz w:val="20"/>
          <w:szCs w:val="20"/>
        </w:rPr>
        <w:t xml:space="preserve"> gNB triggers Tx UE to send SL CSI report when it is partial coverage scenario.</w:t>
      </w:r>
      <w:bookmarkStart w:id="16" w:name="_Toc7649487"/>
      <w:bookmarkStart w:id="17" w:name="_Toc7649399"/>
      <w:bookmarkStart w:id="18" w:name="_Toc7649488"/>
      <w:bookmarkStart w:id="19" w:name="_Toc7649489"/>
      <w:bookmarkStart w:id="20" w:name="_Toc7649490"/>
      <w:bookmarkEnd w:id="15"/>
      <w:bookmarkEnd w:id="16"/>
      <w:bookmarkEnd w:id="17"/>
      <w:bookmarkEnd w:id="18"/>
      <w:bookmarkEnd w:id="19"/>
      <w:bookmarkEnd w:id="20"/>
    </w:p>
    <w:p w14:paraId="28EA9610" w14:textId="2B153E31" w:rsidR="002820B0" w:rsidRDefault="00902407" w:rsidP="00907DE5">
      <w:pPr>
        <w:pStyle w:val="Heading1"/>
      </w:pPr>
      <w:r>
        <w:t>3</w:t>
      </w:r>
      <w:r>
        <w:tab/>
      </w:r>
      <w:r w:rsidR="002820B0" w:rsidRPr="00CE0424">
        <w:t>Conclusion</w:t>
      </w:r>
    </w:p>
    <w:p w14:paraId="4A8B9BDC" w14:textId="77777777" w:rsidR="002820B0" w:rsidRPr="000F7EB1" w:rsidRDefault="002820B0" w:rsidP="002820B0">
      <w:pPr>
        <w:pStyle w:val="BodyText"/>
        <w:rPr>
          <w:sz w:val="20"/>
          <w:lang w:val="en-US"/>
        </w:rPr>
      </w:pPr>
      <w:r w:rsidRPr="000F7EB1">
        <w:rPr>
          <w:sz w:val="20"/>
          <w:lang w:val="en-US"/>
        </w:rPr>
        <w:t>Based on the discussion in the previous sections we propose the following:</w:t>
      </w:r>
    </w:p>
    <w:p w14:paraId="11FE8C14" w14:textId="1FE4D137" w:rsidR="00D87F71" w:rsidRPr="00D87F71" w:rsidRDefault="002820B0">
      <w:pPr>
        <w:pStyle w:val="TableofFigures"/>
        <w:tabs>
          <w:tab w:val="right" w:leader="dot" w:pos="9629"/>
        </w:tabs>
        <w:rPr>
          <w:rFonts w:asciiTheme="minorHAnsi" w:eastAsiaTheme="minorEastAsia" w:hAnsiTheme="minorHAnsi"/>
          <w:b w:val="0"/>
          <w:noProof/>
          <w:sz w:val="20"/>
          <w:lang w:eastAsia="fi-FI"/>
        </w:rPr>
      </w:pPr>
      <w:r w:rsidRPr="009759D3">
        <w:rPr>
          <w:b w:val="0"/>
          <w:sz w:val="20"/>
        </w:rPr>
        <w:fldChar w:fldCharType="begin"/>
      </w:r>
      <w:r w:rsidRPr="009759D3">
        <w:rPr>
          <w:b w:val="0"/>
          <w:bCs/>
          <w:sz w:val="20"/>
        </w:rPr>
        <w:instrText xml:space="preserve"> TOC \n \h \z \t "Proposal" \c </w:instrText>
      </w:r>
      <w:r w:rsidRPr="009759D3">
        <w:rPr>
          <w:b w:val="0"/>
          <w:sz w:val="20"/>
        </w:rPr>
        <w:fldChar w:fldCharType="separate"/>
      </w:r>
      <w:hyperlink w:anchor="_Toc7810682" w:history="1">
        <w:r w:rsidR="00D87F71" w:rsidRPr="00D87F71">
          <w:rPr>
            <w:rStyle w:val="Hyperlink"/>
            <w:noProof/>
            <w:sz w:val="20"/>
          </w:rPr>
          <w:t>Proposal 1</w:t>
        </w:r>
        <w:r w:rsidR="00D87F71" w:rsidRPr="00D87F71">
          <w:rPr>
            <w:rFonts w:asciiTheme="minorHAnsi" w:eastAsiaTheme="minorEastAsia" w:hAnsiTheme="minorHAnsi"/>
            <w:b w:val="0"/>
            <w:noProof/>
            <w:sz w:val="20"/>
            <w:lang w:eastAsia="fi-FI"/>
          </w:rPr>
          <w:tab/>
        </w:r>
        <w:r w:rsidR="00D87F71" w:rsidRPr="00D87F71">
          <w:rPr>
            <w:rStyle w:val="Hyperlink"/>
            <w:noProof/>
            <w:sz w:val="20"/>
          </w:rPr>
          <w:t>For Mode-1 operation, gNB triggers SL CSI report and grants UL resources for sending report to the gNB, as in NR Uu.</w:t>
        </w:r>
      </w:hyperlink>
    </w:p>
    <w:p w14:paraId="6D509BA0" w14:textId="7920F5E2" w:rsidR="00D87F71" w:rsidRPr="00D87F71" w:rsidRDefault="004F3B5F">
      <w:pPr>
        <w:pStyle w:val="TableofFigures"/>
        <w:tabs>
          <w:tab w:val="right" w:leader="dot" w:pos="9629"/>
        </w:tabs>
        <w:rPr>
          <w:rFonts w:asciiTheme="minorHAnsi" w:eastAsiaTheme="minorEastAsia" w:hAnsiTheme="minorHAnsi"/>
          <w:b w:val="0"/>
          <w:noProof/>
          <w:sz w:val="20"/>
          <w:lang w:eastAsia="fi-FI"/>
        </w:rPr>
      </w:pPr>
      <w:hyperlink w:anchor="_Toc7810683" w:history="1">
        <w:r w:rsidR="00D87F71" w:rsidRPr="00D87F71">
          <w:rPr>
            <w:rStyle w:val="Hyperlink"/>
            <w:noProof/>
            <w:sz w:val="20"/>
            <w:lang w:val="en-US"/>
          </w:rPr>
          <w:t>Proposal 2</w:t>
        </w:r>
        <w:r w:rsidR="00D87F71" w:rsidRPr="00D87F71">
          <w:rPr>
            <w:rFonts w:asciiTheme="minorHAnsi" w:eastAsiaTheme="minorEastAsia" w:hAnsiTheme="minorHAnsi"/>
            <w:b w:val="0"/>
            <w:noProof/>
            <w:sz w:val="20"/>
            <w:lang w:eastAsia="fi-FI"/>
          </w:rPr>
          <w:tab/>
        </w:r>
        <w:r w:rsidR="00D87F71" w:rsidRPr="00D87F71">
          <w:rPr>
            <w:rStyle w:val="Hyperlink"/>
            <w:noProof/>
            <w:sz w:val="20"/>
            <w:lang w:val="en-US"/>
          </w:rPr>
          <w:t>Both of the following options should be supported.</w:t>
        </w:r>
      </w:hyperlink>
    </w:p>
    <w:p w14:paraId="486F4A73" w14:textId="2A086E31" w:rsidR="00D87F71" w:rsidRPr="00D87F71" w:rsidRDefault="004F3B5F" w:rsidP="00D87F71">
      <w:pPr>
        <w:pStyle w:val="TableofFigures"/>
        <w:tabs>
          <w:tab w:val="right" w:leader="dot" w:pos="9629"/>
        </w:tabs>
        <w:ind w:left="2410" w:hanging="283"/>
        <w:rPr>
          <w:rFonts w:asciiTheme="minorHAnsi" w:eastAsiaTheme="minorEastAsia" w:hAnsiTheme="minorHAnsi"/>
          <w:b w:val="0"/>
          <w:noProof/>
          <w:sz w:val="20"/>
          <w:lang w:eastAsia="fi-FI"/>
        </w:rPr>
      </w:pPr>
      <w:hyperlink w:anchor="_Toc7810684" w:history="1">
        <w:r w:rsidR="00D87F71" w:rsidRPr="00D87F71">
          <w:rPr>
            <w:rStyle w:val="Hyperlink"/>
            <w:rFonts w:ascii="Symbol" w:hAnsi="Symbol"/>
            <w:noProof/>
            <w:sz w:val="20"/>
          </w:rPr>
          <w:t></w:t>
        </w:r>
        <w:r w:rsidR="00D87F71" w:rsidRPr="00D87F71">
          <w:rPr>
            <w:rFonts w:asciiTheme="minorHAnsi" w:eastAsiaTheme="minorEastAsia" w:hAnsiTheme="minorHAnsi"/>
            <w:b w:val="0"/>
            <w:noProof/>
            <w:sz w:val="20"/>
            <w:lang w:eastAsia="fi-FI"/>
          </w:rPr>
          <w:tab/>
        </w:r>
        <w:r w:rsidR="00D87F71" w:rsidRPr="00D87F71">
          <w:rPr>
            <w:rStyle w:val="Hyperlink"/>
            <w:noProof/>
            <w:sz w:val="20"/>
          </w:rPr>
          <w:t>Option 1: gNB triggers Rx UE to send SL CSI report if both Tx UE and Rx UE are under same gNB coverage.</w:t>
        </w:r>
      </w:hyperlink>
    </w:p>
    <w:p w14:paraId="70880B65" w14:textId="3A5F553B" w:rsidR="00D87F71" w:rsidRPr="00D87F71" w:rsidRDefault="004F3B5F" w:rsidP="00D87F71">
      <w:pPr>
        <w:pStyle w:val="TableofFigures"/>
        <w:tabs>
          <w:tab w:val="right" w:leader="dot" w:pos="9629"/>
        </w:tabs>
        <w:ind w:left="2410" w:hanging="283"/>
        <w:rPr>
          <w:rFonts w:asciiTheme="minorHAnsi" w:eastAsiaTheme="minorEastAsia" w:hAnsiTheme="minorHAnsi"/>
          <w:b w:val="0"/>
          <w:noProof/>
          <w:sz w:val="20"/>
          <w:lang w:eastAsia="fi-FI"/>
        </w:rPr>
      </w:pPr>
      <w:hyperlink w:anchor="_Toc7810685" w:history="1">
        <w:r w:rsidR="00D87F71" w:rsidRPr="00D87F71">
          <w:rPr>
            <w:rStyle w:val="Hyperlink"/>
            <w:rFonts w:ascii="Symbol" w:hAnsi="Symbol"/>
            <w:noProof/>
            <w:sz w:val="20"/>
          </w:rPr>
          <w:t></w:t>
        </w:r>
        <w:r w:rsidR="00D87F71" w:rsidRPr="00D87F71">
          <w:rPr>
            <w:rFonts w:asciiTheme="minorHAnsi" w:eastAsiaTheme="minorEastAsia" w:hAnsiTheme="minorHAnsi"/>
            <w:b w:val="0"/>
            <w:noProof/>
            <w:sz w:val="20"/>
            <w:lang w:eastAsia="fi-FI"/>
          </w:rPr>
          <w:tab/>
        </w:r>
        <w:r w:rsidR="00D87F71" w:rsidRPr="00D87F71">
          <w:rPr>
            <w:rStyle w:val="Hyperlink"/>
            <w:noProof/>
            <w:sz w:val="20"/>
          </w:rPr>
          <w:t>Option 2: gNB triggers Tx UE to send SL CSI report when it is partial coverage scenario.</w:t>
        </w:r>
      </w:hyperlink>
    </w:p>
    <w:p w14:paraId="6CCFA0C8" w14:textId="2FF2D5BD" w:rsidR="002820B0" w:rsidRPr="00635790" w:rsidRDefault="002820B0" w:rsidP="0060317D">
      <w:pPr>
        <w:pStyle w:val="TableofFigures"/>
        <w:ind w:left="0" w:firstLine="0"/>
        <w:rPr>
          <w:b w:val="0"/>
          <w:bCs/>
        </w:rPr>
      </w:pPr>
      <w:r w:rsidRPr="009759D3">
        <w:rPr>
          <w:b w:val="0"/>
          <w:sz w:val="20"/>
        </w:rPr>
        <w:fldChar w:fldCharType="end"/>
      </w:r>
    </w:p>
    <w:p w14:paraId="74581BA1" w14:textId="421D2C2F" w:rsidR="002820B0" w:rsidRPr="00CE0424" w:rsidRDefault="0060317D" w:rsidP="002820B0">
      <w:pPr>
        <w:pStyle w:val="Heading1"/>
      </w:pPr>
      <w:bookmarkStart w:id="21" w:name="_In-sequence_SDU_delivery"/>
      <w:bookmarkEnd w:id="21"/>
      <w:r>
        <w:t>4</w:t>
      </w:r>
      <w:r>
        <w:tab/>
      </w:r>
      <w:r w:rsidR="002820B0" w:rsidRPr="00CE0424">
        <w:t>References</w:t>
      </w:r>
    </w:p>
    <w:p w14:paraId="1B9822A7" w14:textId="7DCE2D18" w:rsidR="002E5776" w:rsidRPr="000F7EB1" w:rsidRDefault="002E5776" w:rsidP="002E5776">
      <w:pPr>
        <w:pStyle w:val="Reference"/>
        <w:jc w:val="left"/>
        <w:rPr>
          <w:rFonts w:eastAsia="Arial" w:cs="Arial"/>
          <w:sz w:val="21"/>
          <w:lang w:val="en-US"/>
        </w:rPr>
      </w:pPr>
      <w:bookmarkStart w:id="22" w:name="_Ref4155288"/>
      <w:bookmarkStart w:id="23" w:name="_Ref174151459"/>
      <w:bookmarkStart w:id="24" w:name="_Ref189809556"/>
      <w:r w:rsidRPr="000F7EB1">
        <w:rPr>
          <w:rFonts w:eastAsia="Arial" w:cs="Arial"/>
          <w:sz w:val="21"/>
          <w:lang w:val="en-US"/>
        </w:rPr>
        <w:t>RP-190766,</w:t>
      </w:r>
      <w:r w:rsidR="00847B5B" w:rsidRPr="000F7EB1">
        <w:rPr>
          <w:rFonts w:eastAsia="Arial" w:cs="Arial"/>
          <w:sz w:val="21"/>
          <w:lang w:val="en-US"/>
        </w:rPr>
        <w:t xml:space="preserve"> </w:t>
      </w:r>
      <w:r w:rsidRPr="000F7EB1">
        <w:rPr>
          <w:rFonts w:eastAsia="Arial" w:cs="Arial"/>
          <w:sz w:val="21"/>
          <w:lang w:val="en-US"/>
        </w:rPr>
        <w:t>New WID on 5</w:t>
      </w:r>
      <w:r w:rsidRPr="000F7EB1">
        <w:rPr>
          <w:rFonts w:eastAsia="Arial" w:cs="Arial"/>
          <w:sz w:val="21"/>
          <w:lang w:val="en-US" w:eastAsia="ko-KR"/>
        </w:rPr>
        <w:t>G V2X with NR sidelink, 3GPP TSG RAN Meeting #83, March 2019</w:t>
      </w:r>
      <w:r w:rsidRPr="000F7EB1">
        <w:rPr>
          <w:rFonts w:eastAsia="Arial" w:cs="Arial"/>
          <w:sz w:val="21"/>
          <w:lang w:val="en-US"/>
        </w:rPr>
        <w:t>.</w:t>
      </w:r>
      <w:bookmarkEnd w:id="22"/>
    </w:p>
    <w:p w14:paraId="0034D3CC" w14:textId="70947C07" w:rsidR="003A7EF3" w:rsidRPr="000F7EB1" w:rsidRDefault="00B35DF6" w:rsidP="00907DE5">
      <w:pPr>
        <w:pStyle w:val="Reference"/>
        <w:rPr>
          <w:sz w:val="21"/>
          <w:lang w:val="en-US"/>
        </w:rPr>
      </w:pPr>
      <w:bookmarkStart w:id="25" w:name="_Ref4963546"/>
      <w:r w:rsidRPr="000F7EB1">
        <w:rPr>
          <w:sz w:val="21"/>
          <w:lang w:val="en-US"/>
        </w:rPr>
        <w:t>R1-</w:t>
      </w:r>
      <w:r w:rsidR="006F6231" w:rsidRPr="000F7EB1">
        <w:rPr>
          <w:rFonts w:cs="Arial"/>
          <w:color w:val="000000"/>
          <w:sz w:val="21"/>
          <w:lang w:val="en-US"/>
        </w:rPr>
        <w:t>1907143</w:t>
      </w:r>
      <w:r w:rsidRPr="000F7EB1">
        <w:rPr>
          <w:sz w:val="21"/>
          <w:lang w:val="en-US"/>
        </w:rPr>
        <w:t xml:space="preserve">, </w:t>
      </w:r>
      <w:r w:rsidR="009759D3" w:rsidRPr="000F7EB1">
        <w:rPr>
          <w:sz w:val="21"/>
          <w:lang w:val="en-US"/>
        </w:rPr>
        <w:t>“</w:t>
      </w:r>
      <w:r w:rsidR="003D193A" w:rsidRPr="000F7EB1">
        <w:rPr>
          <w:rFonts w:cs="Arial"/>
          <w:sz w:val="21"/>
          <w:lang w:val="en-US"/>
        </w:rPr>
        <w:t xml:space="preserve">Physical </w:t>
      </w:r>
      <w:r w:rsidRPr="000F7EB1">
        <w:rPr>
          <w:rFonts w:cs="Arial"/>
          <w:sz w:val="21"/>
          <w:lang w:val="en-US"/>
        </w:rPr>
        <w:t>layer procedure</w:t>
      </w:r>
      <w:r w:rsidR="006F6231" w:rsidRPr="000F7EB1">
        <w:rPr>
          <w:rFonts w:cs="Arial"/>
          <w:sz w:val="21"/>
          <w:lang w:val="en-US"/>
        </w:rPr>
        <w:t>s</w:t>
      </w:r>
      <w:r w:rsidRPr="000F7EB1">
        <w:rPr>
          <w:rFonts w:cs="Arial"/>
          <w:sz w:val="21"/>
          <w:lang w:val="en-US"/>
        </w:rPr>
        <w:t xml:space="preserve"> for sidelink</w:t>
      </w:r>
      <w:r w:rsidRPr="000F7EB1">
        <w:rPr>
          <w:sz w:val="21"/>
          <w:lang w:val="en-US"/>
        </w:rPr>
        <w:t>,</w:t>
      </w:r>
      <w:r w:rsidR="009759D3" w:rsidRPr="000F7EB1">
        <w:rPr>
          <w:sz w:val="21"/>
          <w:lang w:val="en-US"/>
        </w:rPr>
        <w:t>”</w:t>
      </w:r>
      <w:r w:rsidRPr="000F7EB1">
        <w:rPr>
          <w:sz w:val="21"/>
          <w:lang w:val="en-US"/>
        </w:rPr>
        <w:t xml:space="preserve"> Ericsson, RAN1 #97, May 2019.</w:t>
      </w:r>
      <w:bookmarkEnd w:id="23"/>
      <w:bookmarkEnd w:id="24"/>
      <w:bookmarkEnd w:id="25"/>
    </w:p>
    <w:sectPr w:rsidR="003A7EF3" w:rsidRPr="000F7EB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52C73" w14:textId="77777777" w:rsidR="004F3B5F" w:rsidRDefault="004F3B5F">
      <w:r>
        <w:separator/>
      </w:r>
    </w:p>
  </w:endnote>
  <w:endnote w:type="continuationSeparator" w:id="0">
    <w:p w14:paraId="40B8AB3E" w14:textId="77777777" w:rsidR="004F3B5F" w:rsidRDefault="004F3B5F">
      <w:r>
        <w:continuationSeparator/>
      </w:r>
    </w:p>
  </w:endnote>
  <w:endnote w:type="continuationNotice" w:id="1">
    <w:p w14:paraId="777EBB2B" w14:textId="77777777" w:rsidR="004F3B5F" w:rsidRDefault="004F3B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D5FB3" w14:textId="77777777" w:rsidR="004F3B5F" w:rsidRDefault="004F3B5F">
      <w:r>
        <w:separator/>
      </w:r>
    </w:p>
  </w:footnote>
  <w:footnote w:type="continuationSeparator" w:id="0">
    <w:p w14:paraId="0A430B87" w14:textId="77777777" w:rsidR="004F3B5F" w:rsidRDefault="004F3B5F">
      <w:r>
        <w:continuationSeparator/>
      </w:r>
    </w:p>
  </w:footnote>
  <w:footnote w:type="continuationNotice" w:id="1">
    <w:p w14:paraId="1B957FD8" w14:textId="77777777" w:rsidR="004F3B5F" w:rsidRDefault="004F3B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E6D6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5EEA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141016"/>
    <w:multiLevelType w:val="hybridMultilevel"/>
    <w:tmpl w:val="5388D87A"/>
    <w:lvl w:ilvl="0" w:tplc="8F56482C">
      <w:start w:val="1"/>
      <w:numFmt w:val="lowerRoman"/>
      <w:lvlText w:val="%1."/>
      <w:lvlJc w:val="left"/>
      <w:pPr>
        <w:ind w:left="2064" w:hanging="1704"/>
      </w:pPr>
      <w:rPr>
        <w:rFonts w:ascii="Arial" w:eastAsia="SimSun" w:hAnsi="Arial" w:cs="Times New Roman" w:hint="default"/>
        <w:b/>
        <w:color w:val="0000FF"/>
        <w:sz w:val="2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483440"/>
    <w:multiLevelType w:val="hybridMultilevel"/>
    <w:tmpl w:val="642EAE60"/>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50E5F47"/>
    <w:multiLevelType w:val="hybridMultilevel"/>
    <w:tmpl w:val="AFF4C046"/>
    <w:lvl w:ilvl="0" w:tplc="367482B4">
      <w:start w:val="1"/>
      <w:numFmt w:val="lowerLetter"/>
      <w:lvlText w:val="(%1)"/>
      <w:lvlJc w:val="left"/>
      <w:pPr>
        <w:ind w:left="2268" w:hanging="360"/>
      </w:pPr>
      <w:rPr>
        <w:rFonts w:hint="default"/>
      </w:rPr>
    </w:lvl>
    <w:lvl w:ilvl="1" w:tplc="04090019" w:tentative="1">
      <w:start w:val="1"/>
      <w:numFmt w:val="lowerLetter"/>
      <w:lvlText w:val="%2."/>
      <w:lvlJc w:val="left"/>
      <w:pPr>
        <w:ind w:left="2988" w:hanging="360"/>
      </w:pPr>
    </w:lvl>
    <w:lvl w:ilvl="2" w:tplc="0409001B" w:tentative="1">
      <w:start w:val="1"/>
      <w:numFmt w:val="lowerRoman"/>
      <w:lvlText w:val="%3."/>
      <w:lvlJc w:val="right"/>
      <w:pPr>
        <w:ind w:left="3708" w:hanging="180"/>
      </w:pPr>
    </w:lvl>
    <w:lvl w:ilvl="3" w:tplc="0409000F" w:tentative="1">
      <w:start w:val="1"/>
      <w:numFmt w:val="decimal"/>
      <w:lvlText w:val="%4."/>
      <w:lvlJc w:val="left"/>
      <w:pPr>
        <w:ind w:left="4428" w:hanging="360"/>
      </w:pPr>
    </w:lvl>
    <w:lvl w:ilvl="4" w:tplc="04090019" w:tentative="1">
      <w:start w:val="1"/>
      <w:numFmt w:val="lowerLetter"/>
      <w:lvlText w:val="%5."/>
      <w:lvlJc w:val="left"/>
      <w:pPr>
        <w:ind w:left="5148" w:hanging="360"/>
      </w:pPr>
    </w:lvl>
    <w:lvl w:ilvl="5" w:tplc="0409001B" w:tentative="1">
      <w:start w:val="1"/>
      <w:numFmt w:val="lowerRoman"/>
      <w:lvlText w:val="%6."/>
      <w:lvlJc w:val="right"/>
      <w:pPr>
        <w:ind w:left="5868" w:hanging="180"/>
      </w:pPr>
    </w:lvl>
    <w:lvl w:ilvl="6" w:tplc="0409000F" w:tentative="1">
      <w:start w:val="1"/>
      <w:numFmt w:val="decimal"/>
      <w:lvlText w:val="%7."/>
      <w:lvlJc w:val="left"/>
      <w:pPr>
        <w:ind w:left="6588" w:hanging="360"/>
      </w:pPr>
    </w:lvl>
    <w:lvl w:ilvl="7" w:tplc="04090019" w:tentative="1">
      <w:start w:val="1"/>
      <w:numFmt w:val="lowerLetter"/>
      <w:lvlText w:val="%8."/>
      <w:lvlJc w:val="left"/>
      <w:pPr>
        <w:ind w:left="7308" w:hanging="360"/>
      </w:pPr>
    </w:lvl>
    <w:lvl w:ilvl="8" w:tplc="0409001B" w:tentative="1">
      <w:start w:val="1"/>
      <w:numFmt w:val="lowerRoman"/>
      <w:lvlText w:val="%9."/>
      <w:lvlJc w:val="right"/>
      <w:pPr>
        <w:ind w:left="8028" w:hanging="180"/>
      </w:pPr>
    </w:lvl>
  </w:abstractNum>
  <w:abstractNum w:abstractNumId="8" w15:restartNumberingAfterBreak="0">
    <w:nsid w:val="19F75679"/>
    <w:multiLevelType w:val="hybridMultilevel"/>
    <w:tmpl w:val="417203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BEB4F37"/>
    <w:multiLevelType w:val="hybridMultilevel"/>
    <w:tmpl w:val="7C4CFD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417D34"/>
    <w:multiLevelType w:val="hybridMultilevel"/>
    <w:tmpl w:val="1D3608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9674"/>
        </w:tabs>
        <w:ind w:left="967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4F6709"/>
    <w:multiLevelType w:val="hybridMultilevel"/>
    <w:tmpl w:val="FB742896"/>
    <w:lvl w:ilvl="0" w:tplc="DE52A32A">
      <w:start w:val="1"/>
      <w:numFmt w:val="decimal"/>
      <w:lvlText w:val="%1"/>
      <w:lvlJc w:val="left"/>
      <w:pPr>
        <w:ind w:left="2552" w:hanging="1305"/>
      </w:pPr>
      <w:rPr>
        <w:rFonts w:hint="default"/>
      </w:rPr>
    </w:lvl>
    <w:lvl w:ilvl="1" w:tplc="20000019" w:tentative="1">
      <w:start w:val="1"/>
      <w:numFmt w:val="lowerLetter"/>
      <w:lvlText w:val="%2."/>
      <w:lvlJc w:val="left"/>
      <w:pPr>
        <w:ind w:left="2327" w:hanging="360"/>
      </w:pPr>
    </w:lvl>
    <w:lvl w:ilvl="2" w:tplc="2000001B" w:tentative="1">
      <w:start w:val="1"/>
      <w:numFmt w:val="lowerRoman"/>
      <w:lvlText w:val="%3."/>
      <w:lvlJc w:val="right"/>
      <w:pPr>
        <w:ind w:left="3047" w:hanging="180"/>
      </w:pPr>
    </w:lvl>
    <w:lvl w:ilvl="3" w:tplc="2000000F" w:tentative="1">
      <w:start w:val="1"/>
      <w:numFmt w:val="decimal"/>
      <w:lvlText w:val="%4."/>
      <w:lvlJc w:val="left"/>
      <w:pPr>
        <w:ind w:left="3767" w:hanging="360"/>
      </w:pPr>
    </w:lvl>
    <w:lvl w:ilvl="4" w:tplc="20000019" w:tentative="1">
      <w:start w:val="1"/>
      <w:numFmt w:val="lowerLetter"/>
      <w:lvlText w:val="%5."/>
      <w:lvlJc w:val="left"/>
      <w:pPr>
        <w:ind w:left="4487" w:hanging="360"/>
      </w:pPr>
    </w:lvl>
    <w:lvl w:ilvl="5" w:tplc="2000001B" w:tentative="1">
      <w:start w:val="1"/>
      <w:numFmt w:val="lowerRoman"/>
      <w:lvlText w:val="%6."/>
      <w:lvlJc w:val="right"/>
      <w:pPr>
        <w:ind w:left="5207" w:hanging="180"/>
      </w:pPr>
    </w:lvl>
    <w:lvl w:ilvl="6" w:tplc="2000000F" w:tentative="1">
      <w:start w:val="1"/>
      <w:numFmt w:val="decimal"/>
      <w:lvlText w:val="%7."/>
      <w:lvlJc w:val="left"/>
      <w:pPr>
        <w:ind w:left="5927" w:hanging="360"/>
      </w:pPr>
    </w:lvl>
    <w:lvl w:ilvl="7" w:tplc="20000019" w:tentative="1">
      <w:start w:val="1"/>
      <w:numFmt w:val="lowerLetter"/>
      <w:lvlText w:val="%8."/>
      <w:lvlJc w:val="left"/>
      <w:pPr>
        <w:ind w:left="6647" w:hanging="360"/>
      </w:pPr>
    </w:lvl>
    <w:lvl w:ilvl="8" w:tplc="2000001B" w:tentative="1">
      <w:start w:val="1"/>
      <w:numFmt w:val="lowerRoman"/>
      <w:lvlText w:val="%9."/>
      <w:lvlJc w:val="right"/>
      <w:pPr>
        <w:ind w:left="7367" w:hanging="180"/>
      </w:pPr>
    </w:lvl>
  </w:abstractNum>
  <w:abstractNum w:abstractNumId="25" w15:restartNumberingAfterBreak="0">
    <w:nsid w:val="50FF7ACE"/>
    <w:multiLevelType w:val="hybridMultilevel"/>
    <w:tmpl w:val="097EA5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FD527F"/>
    <w:multiLevelType w:val="hybridMultilevel"/>
    <w:tmpl w:val="1EE8FF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111F0D"/>
    <w:multiLevelType w:val="hybridMultilevel"/>
    <w:tmpl w:val="C7DCF6DA"/>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9A45B25"/>
    <w:multiLevelType w:val="hybridMultilevel"/>
    <w:tmpl w:val="938A8DB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9"/>
  </w:num>
  <w:num w:numId="4">
    <w:abstractNumId w:val="20"/>
  </w:num>
  <w:num w:numId="5">
    <w:abstractNumId w:val="16"/>
  </w:num>
  <w:num w:numId="6">
    <w:abstractNumId w:val="22"/>
  </w:num>
  <w:num w:numId="7">
    <w:abstractNumId w:val="28"/>
  </w:num>
  <w:num w:numId="8">
    <w:abstractNumId w:val="17"/>
  </w:num>
  <w:num w:numId="9">
    <w:abstractNumId w:val="13"/>
  </w:num>
  <w:num w:numId="10">
    <w:abstractNumId w:val="2"/>
  </w:num>
  <w:num w:numId="11">
    <w:abstractNumId w:val="1"/>
  </w:num>
  <w:num w:numId="12">
    <w:abstractNumId w:val="0"/>
  </w:num>
  <w:num w:numId="13">
    <w:abstractNumId w:val="26"/>
  </w:num>
  <w:num w:numId="14">
    <w:abstractNumId w:val="27"/>
  </w:num>
  <w:num w:numId="15">
    <w:abstractNumId w:val="21"/>
  </w:num>
  <w:num w:numId="16">
    <w:abstractNumId w:val="30"/>
  </w:num>
  <w:num w:numId="17">
    <w:abstractNumId w:val="10"/>
  </w:num>
  <w:num w:numId="18">
    <w:abstractNumId w:val="11"/>
  </w:num>
  <w:num w:numId="19">
    <w:abstractNumId w:val="6"/>
  </w:num>
  <w:num w:numId="20">
    <w:abstractNumId w:val="35"/>
  </w:num>
  <w:num w:numId="21">
    <w:abstractNumId w:val="18"/>
  </w:num>
  <w:num w:numId="22">
    <w:abstractNumId w:val="33"/>
  </w:num>
  <w:num w:numId="23">
    <w:abstractNumId w:val="3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5"/>
  </w:num>
  <w:num w:numId="26">
    <w:abstractNumId w:val="9"/>
  </w:num>
  <w:num w:numId="27">
    <w:abstractNumId w:val="32"/>
  </w:num>
  <w:num w:numId="28">
    <w:abstractNumId w:val="29"/>
  </w:num>
  <w:num w:numId="29">
    <w:abstractNumId w:val="8"/>
  </w:num>
  <w:num w:numId="30">
    <w:abstractNumId w:val="14"/>
  </w:num>
  <w:num w:numId="31">
    <w:abstractNumId w:val="24"/>
  </w:num>
  <w:num w:numId="32">
    <w:abstractNumId w:val="37"/>
  </w:num>
  <w:num w:numId="33">
    <w:abstractNumId w:val="36"/>
  </w:num>
  <w:num w:numId="34">
    <w:abstractNumId w:val="31"/>
  </w:num>
  <w:num w:numId="35">
    <w:abstractNumId w:val="25"/>
  </w:num>
  <w:num w:numId="36">
    <w:abstractNumId w:val="7"/>
  </w:num>
  <w:num w:numId="37">
    <w:abstractNumId w:val="4"/>
  </w:num>
  <w:num w:numId="3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4001"/>
    <w:rsid w:val="0002564D"/>
    <w:rsid w:val="00025ECA"/>
    <w:rsid w:val="000325B8"/>
    <w:rsid w:val="00034C15"/>
    <w:rsid w:val="000358D1"/>
    <w:rsid w:val="00036BA1"/>
    <w:rsid w:val="000422E2"/>
    <w:rsid w:val="00042F22"/>
    <w:rsid w:val="000444EF"/>
    <w:rsid w:val="0005134D"/>
    <w:rsid w:val="00052A07"/>
    <w:rsid w:val="000534E3"/>
    <w:rsid w:val="00054CBB"/>
    <w:rsid w:val="0005606A"/>
    <w:rsid w:val="00057117"/>
    <w:rsid w:val="000616E7"/>
    <w:rsid w:val="0006487E"/>
    <w:rsid w:val="00065E1A"/>
    <w:rsid w:val="00076847"/>
    <w:rsid w:val="00077E5F"/>
    <w:rsid w:val="0008036A"/>
    <w:rsid w:val="00081AE6"/>
    <w:rsid w:val="000855EB"/>
    <w:rsid w:val="000856F0"/>
    <w:rsid w:val="00085B52"/>
    <w:rsid w:val="000866F2"/>
    <w:rsid w:val="0009009F"/>
    <w:rsid w:val="00091557"/>
    <w:rsid w:val="000924C1"/>
    <w:rsid w:val="000924F0"/>
    <w:rsid w:val="00093474"/>
    <w:rsid w:val="0009510F"/>
    <w:rsid w:val="000A0E4C"/>
    <w:rsid w:val="000A1B7B"/>
    <w:rsid w:val="000A56F2"/>
    <w:rsid w:val="000A71F4"/>
    <w:rsid w:val="000B2719"/>
    <w:rsid w:val="000B3A8F"/>
    <w:rsid w:val="000B4AB9"/>
    <w:rsid w:val="000B58C3"/>
    <w:rsid w:val="000B61E9"/>
    <w:rsid w:val="000B65B1"/>
    <w:rsid w:val="000C165A"/>
    <w:rsid w:val="000C2E19"/>
    <w:rsid w:val="000D0D07"/>
    <w:rsid w:val="000D14E3"/>
    <w:rsid w:val="000D4797"/>
    <w:rsid w:val="000E0527"/>
    <w:rsid w:val="000E1E92"/>
    <w:rsid w:val="000F06D6"/>
    <w:rsid w:val="000F0EB1"/>
    <w:rsid w:val="000F1106"/>
    <w:rsid w:val="000F3BE9"/>
    <w:rsid w:val="000F3F6C"/>
    <w:rsid w:val="000F6DF3"/>
    <w:rsid w:val="000F7EB1"/>
    <w:rsid w:val="001005FF"/>
    <w:rsid w:val="001062FB"/>
    <w:rsid w:val="001063E6"/>
    <w:rsid w:val="00113CF4"/>
    <w:rsid w:val="001153EA"/>
    <w:rsid w:val="00115643"/>
    <w:rsid w:val="00116765"/>
    <w:rsid w:val="0012107F"/>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51C6"/>
    <w:rsid w:val="001659C1"/>
    <w:rsid w:val="001723D6"/>
    <w:rsid w:val="00173A8E"/>
    <w:rsid w:val="0017502C"/>
    <w:rsid w:val="0018143F"/>
    <w:rsid w:val="00181FF8"/>
    <w:rsid w:val="0018617F"/>
    <w:rsid w:val="00190AC1"/>
    <w:rsid w:val="0019341A"/>
    <w:rsid w:val="00196F80"/>
    <w:rsid w:val="00197DF9"/>
    <w:rsid w:val="001A1987"/>
    <w:rsid w:val="001A2564"/>
    <w:rsid w:val="001A6173"/>
    <w:rsid w:val="001A6CBA"/>
    <w:rsid w:val="001B0D97"/>
    <w:rsid w:val="001B4A2F"/>
    <w:rsid w:val="001B5A5D"/>
    <w:rsid w:val="001C1CE5"/>
    <w:rsid w:val="001C25A6"/>
    <w:rsid w:val="001C3D2A"/>
    <w:rsid w:val="001D51BA"/>
    <w:rsid w:val="001D53E7"/>
    <w:rsid w:val="001D6342"/>
    <w:rsid w:val="001D6D53"/>
    <w:rsid w:val="001E58E2"/>
    <w:rsid w:val="001E7AED"/>
    <w:rsid w:val="001F3916"/>
    <w:rsid w:val="001F54C5"/>
    <w:rsid w:val="001F58E3"/>
    <w:rsid w:val="001F662C"/>
    <w:rsid w:val="001F7074"/>
    <w:rsid w:val="00200490"/>
    <w:rsid w:val="00201F3A"/>
    <w:rsid w:val="0020343F"/>
    <w:rsid w:val="00203F96"/>
    <w:rsid w:val="002069B2"/>
    <w:rsid w:val="00207FA3"/>
    <w:rsid w:val="00214DA8"/>
    <w:rsid w:val="00215423"/>
    <w:rsid w:val="002158FA"/>
    <w:rsid w:val="00220600"/>
    <w:rsid w:val="002224DB"/>
    <w:rsid w:val="00223FCB"/>
    <w:rsid w:val="002252C3"/>
    <w:rsid w:val="00225C54"/>
    <w:rsid w:val="00230765"/>
    <w:rsid w:val="00230ABF"/>
    <w:rsid w:val="00230D18"/>
    <w:rsid w:val="002319E4"/>
    <w:rsid w:val="00235632"/>
    <w:rsid w:val="00235872"/>
    <w:rsid w:val="00241559"/>
    <w:rsid w:val="002435B3"/>
    <w:rsid w:val="002458EB"/>
    <w:rsid w:val="002500C8"/>
    <w:rsid w:val="00252E7E"/>
    <w:rsid w:val="00257543"/>
    <w:rsid w:val="002617E7"/>
    <w:rsid w:val="00264228"/>
    <w:rsid w:val="00264334"/>
    <w:rsid w:val="0026473E"/>
    <w:rsid w:val="00265B82"/>
    <w:rsid w:val="00266214"/>
    <w:rsid w:val="00267C83"/>
    <w:rsid w:val="0027144F"/>
    <w:rsid w:val="00271813"/>
    <w:rsid w:val="00271F3A"/>
    <w:rsid w:val="00273278"/>
    <w:rsid w:val="002737F4"/>
    <w:rsid w:val="00275B73"/>
    <w:rsid w:val="002805F5"/>
    <w:rsid w:val="00280751"/>
    <w:rsid w:val="002820B0"/>
    <w:rsid w:val="0028280A"/>
    <w:rsid w:val="0028590B"/>
    <w:rsid w:val="00286ACD"/>
    <w:rsid w:val="00287838"/>
    <w:rsid w:val="002907B5"/>
    <w:rsid w:val="00292EB7"/>
    <w:rsid w:val="00296227"/>
    <w:rsid w:val="00296F44"/>
    <w:rsid w:val="0029777D"/>
    <w:rsid w:val="002A055E"/>
    <w:rsid w:val="002A1D4E"/>
    <w:rsid w:val="002A2869"/>
    <w:rsid w:val="002B24D6"/>
    <w:rsid w:val="002C0BE0"/>
    <w:rsid w:val="002C41E6"/>
    <w:rsid w:val="002D071A"/>
    <w:rsid w:val="002D34B2"/>
    <w:rsid w:val="002D48B0"/>
    <w:rsid w:val="002D5B37"/>
    <w:rsid w:val="002D7637"/>
    <w:rsid w:val="002E0A16"/>
    <w:rsid w:val="002E17F2"/>
    <w:rsid w:val="002E5776"/>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6BF0"/>
    <w:rsid w:val="00331751"/>
    <w:rsid w:val="00334579"/>
    <w:rsid w:val="00335858"/>
    <w:rsid w:val="00336BDA"/>
    <w:rsid w:val="00342BD7"/>
    <w:rsid w:val="00346DB5"/>
    <w:rsid w:val="003477B1"/>
    <w:rsid w:val="00357380"/>
    <w:rsid w:val="003602D9"/>
    <w:rsid w:val="003604CE"/>
    <w:rsid w:val="00370E47"/>
    <w:rsid w:val="003742AC"/>
    <w:rsid w:val="00377CE1"/>
    <w:rsid w:val="0038385D"/>
    <w:rsid w:val="00385BF0"/>
    <w:rsid w:val="00390706"/>
    <w:rsid w:val="003939FF"/>
    <w:rsid w:val="00395B02"/>
    <w:rsid w:val="003A2223"/>
    <w:rsid w:val="003A2A0F"/>
    <w:rsid w:val="003A45A1"/>
    <w:rsid w:val="003A5B0A"/>
    <w:rsid w:val="003A6BAC"/>
    <w:rsid w:val="003A70A4"/>
    <w:rsid w:val="003A7EF3"/>
    <w:rsid w:val="003B159C"/>
    <w:rsid w:val="003B163E"/>
    <w:rsid w:val="003B369F"/>
    <w:rsid w:val="003B36A3"/>
    <w:rsid w:val="003B64BB"/>
    <w:rsid w:val="003B7FE5"/>
    <w:rsid w:val="003C11C8"/>
    <w:rsid w:val="003C2702"/>
    <w:rsid w:val="003C7806"/>
    <w:rsid w:val="003D054D"/>
    <w:rsid w:val="003D109F"/>
    <w:rsid w:val="003D193A"/>
    <w:rsid w:val="003D2478"/>
    <w:rsid w:val="003D3C45"/>
    <w:rsid w:val="003D5B1F"/>
    <w:rsid w:val="003E15FA"/>
    <w:rsid w:val="003E55E4"/>
    <w:rsid w:val="003E74E3"/>
    <w:rsid w:val="003F05C7"/>
    <w:rsid w:val="003F2CD4"/>
    <w:rsid w:val="003F6BBE"/>
    <w:rsid w:val="004000E8"/>
    <w:rsid w:val="00402E2B"/>
    <w:rsid w:val="0040512B"/>
    <w:rsid w:val="004051F5"/>
    <w:rsid w:val="00405CA5"/>
    <w:rsid w:val="00407CD3"/>
    <w:rsid w:val="00410134"/>
    <w:rsid w:val="00410B72"/>
    <w:rsid w:val="00410F18"/>
    <w:rsid w:val="0041263E"/>
    <w:rsid w:val="00413AAC"/>
    <w:rsid w:val="00413E92"/>
    <w:rsid w:val="00421105"/>
    <w:rsid w:val="00421BC3"/>
    <w:rsid w:val="00422AA4"/>
    <w:rsid w:val="004242F4"/>
    <w:rsid w:val="00427248"/>
    <w:rsid w:val="004343E8"/>
    <w:rsid w:val="00437447"/>
    <w:rsid w:val="00441A92"/>
    <w:rsid w:val="00443145"/>
    <w:rsid w:val="004431DC"/>
    <w:rsid w:val="00444F56"/>
    <w:rsid w:val="00446488"/>
    <w:rsid w:val="004517AA"/>
    <w:rsid w:val="00452CAC"/>
    <w:rsid w:val="00457565"/>
    <w:rsid w:val="00457B71"/>
    <w:rsid w:val="00461DDF"/>
    <w:rsid w:val="004669E2"/>
    <w:rsid w:val="00470C31"/>
    <w:rsid w:val="004715FD"/>
    <w:rsid w:val="00471DE0"/>
    <w:rsid w:val="004734D0"/>
    <w:rsid w:val="0047556B"/>
    <w:rsid w:val="0047587B"/>
    <w:rsid w:val="00477768"/>
    <w:rsid w:val="00486F1D"/>
    <w:rsid w:val="00492BC5"/>
    <w:rsid w:val="004964F1"/>
    <w:rsid w:val="00497532"/>
    <w:rsid w:val="004A16BC"/>
    <w:rsid w:val="004A2B94"/>
    <w:rsid w:val="004A2D0B"/>
    <w:rsid w:val="004B27C2"/>
    <w:rsid w:val="004B6F6A"/>
    <w:rsid w:val="004B7C0C"/>
    <w:rsid w:val="004C22F4"/>
    <w:rsid w:val="004C3898"/>
    <w:rsid w:val="004D2328"/>
    <w:rsid w:val="004D36B1"/>
    <w:rsid w:val="004D7EBD"/>
    <w:rsid w:val="004E2680"/>
    <w:rsid w:val="004E28F9"/>
    <w:rsid w:val="004E462E"/>
    <w:rsid w:val="004E551C"/>
    <w:rsid w:val="004E56DC"/>
    <w:rsid w:val="004E598D"/>
    <w:rsid w:val="004E76F4"/>
    <w:rsid w:val="004F0B4E"/>
    <w:rsid w:val="004F0B6C"/>
    <w:rsid w:val="004F2078"/>
    <w:rsid w:val="004F3B5F"/>
    <w:rsid w:val="004F4DA3"/>
    <w:rsid w:val="00503251"/>
    <w:rsid w:val="00506557"/>
    <w:rsid w:val="0050677A"/>
    <w:rsid w:val="005108D8"/>
    <w:rsid w:val="005116F9"/>
    <w:rsid w:val="005153A7"/>
    <w:rsid w:val="005219CF"/>
    <w:rsid w:val="005332C9"/>
    <w:rsid w:val="0053443B"/>
    <w:rsid w:val="00534B59"/>
    <w:rsid w:val="00536759"/>
    <w:rsid w:val="00537C62"/>
    <w:rsid w:val="00543E03"/>
    <w:rsid w:val="00546970"/>
    <w:rsid w:val="00554E19"/>
    <w:rsid w:val="0056121F"/>
    <w:rsid w:val="00572505"/>
    <w:rsid w:val="005743EB"/>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5484"/>
    <w:rsid w:val="005C74FB"/>
    <w:rsid w:val="005D1602"/>
    <w:rsid w:val="005D56F1"/>
    <w:rsid w:val="005E197C"/>
    <w:rsid w:val="005E385F"/>
    <w:rsid w:val="005E5B81"/>
    <w:rsid w:val="005F2CB1"/>
    <w:rsid w:val="005F3025"/>
    <w:rsid w:val="005F618C"/>
    <w:rsid w:val="005F70BD"/>
    <w:rsid w:val="0060283C"/>
    <w:rsid w:val="0060317D"/>
    <w:rsid w:val="00604F14"/>
    <w:rsid w:val="0061032A"/>
    <w:rsid w:val="00611B83"/>
    <w:rsid w:val="00613257"/>
    <w:rsid w:val="00614FDB"/>
    <w:rsid w:val="00615044"/>
    <w:rsid w:val="00620A71"/>
    <w:rsid w:val="00620D80"/>
    <w:rsid w:val="00622299"/>
    <w:rsid w:val="006234A6"/>
    <w:rsid w:val="00630001"/>
    <w:rsid w:val="006311B3"/>
    <w:rsid w:val="0063284C"/>
    <w:rsid w:val="00635790"/>
    <w:rsid w:val="00636398"/>
    <w:rsid w:val="006368D3"/>
    <w:rsid w:val="006377EC"/>
    <w:rsid w:val="0064151F"/>
    <w:rsid w:val="00641533"/>
    <w:rsid w:val="0064208D"/>
    <w:rsid w:val="00643475"/>
    <w:rsid w:val="0064396A"/>
    <w:rsid w:val="0064624E"/>
    <w:rsid w:val="00650AB9"/>
    <w:rsid w:val="0065213C"/>
    <w:rsid w:val="00655733"/>
    <w:rsid w:val="00655ACD"/>
    <w:rsid w:val="00656A92"/>
    <w:rsid w:val="00656DDE"/>
    <w:rsid w:val="0066011D"/>
    <w:rsid w:val="006607C0"/>
    <w:rsid w:val="006613A6"/>
    <w:rsid w:val="006627A2"/>
    <w:rsid w:val="006634E6"/>
    <w:rsid w:val="006655EE"/>
    <w:rsid w:val="00666271"/>
    <w:rsid w:val="00667EE7"/>
    <w:rsid w:val="00670922"/>
    <w:rsid w:val="00670BE1"/>
    <w:rsid w:val="0067218F"/>
    <w:rsid w:val="006741F2"/>
    <w:rsid w:val="00674CC3"/>
    <w:rsid w:val="00675C72"/>
    <w:rsid w:val="006771F9"/>
    <w:rsid w:val="006776D7"/>
    <w:rsid w:val="00681003"/>
    <w:rsid w:val="006817C9"/>
    <w:rsid w:val="00683ECE"/>
    <w:rsid w:val="0069540A"/>
    <w:rsid w:val="00695FC2"/>
    <w:rsid w:val="00696949"/>
    <w:rsid w:val="00696BC7"/>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07F5"/>
    <w:rsid w:val="006F1B70"/>
    <w:rsid w:val="006F341D"/>
    <w:rsid w:val="006F3CDE"/>
    <w:rsid w:val="006F58D4"/>
    <w:rsid w:val="006F6231"/>
    <w:rsid w:val="006F6582"/>
    <w:rsid w:val="0070346E"/>
    <w:rsid w:val="00704EDB"/>
    <w:rsid w:val="00705F08"/>
    <w:rsid w:val="00706101"/>
    <w:rsid w:val="00707072"/>
    <w:rsid w:val="00707D61"/>
    <w:rsid w:val="00712287"/>
    <w:rsid w:val="00712772"/>
    <w:rsid w:val="00713B98"/>
    <w:rsid w:val="007148D3"/>
    <w:rsid w:val="00715B9A"/>
    <w:rsid w:val="00715DB6"/>
    <w:rsid w:val="00717171"/>
    <w:rsid w:val="007257D0"/>
    <w:rsid w:val="00726677"/>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773"/>
    <w:rsid w:val="007A1CB3"/>
    <w:rsid w:val="007A1E9B"/>
    <w:rsid w:val="007A306F"/>
    <w:rsid w:val="007A43A6"/>
    <w:rsid w:val="007A58A6"/>
    <w:rsid w:val="007A5E6D"/>
    <w:rsid w:val="007A72ED"/>
    <w:rsid w:val="007B3D2D"/>
    <w:rsid w:val="007B50AE"/>
    <w:rsid w:val="007B51DF"/>
    <w:rsid w:val="007C05DD"/>
    <w:rsid w:val="007C3D18"/>
    <w:rsid w:val="007C555F"/>
    <w:rsid w:val="007C60BF"/>
    <w:rsid w:val="007C6A07"/>
    <w:rsid w:val="007C75A1"/>
    <w:rsid w:val="007C77A5"/>
    <w:rsid w:val="007D04E5"/>
    <w:rsid w:val="007D1E1D"/>
    <w:rsid w:val="007D5901"/>
    <w:rsid w:val="007D7526"/>
    <w:rsid w:val="007E4610"/>
    <w:rsid w:val="007E4715"/>
    <w:rsid w:val="007E505B"/>
    <w:rsid w:val="007E6087"/>
    <w:rsid w:val="007E7091"/>
    <w:rsid w:val="007F0934"/>
    <w:rsid w:val="007F4DC0"/>
    <w:rsid w:val="00803FAE"/>
    <w:rsid w:val="0080605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47B5B"/>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3A6F"/>
    <w:rsid w:val="008A44B8"/>
    <w:rsid w:val="008A51A8"/>
    <w:rsid w:val="008A54C7"/>
    <w:rsid w:val="008A77D8"/>
    <w:rsid w:val="008B0483"/>
    <w:rsid w:val="008B120C"/>
    <w:rsid w:val="008B51A0"/>
    <w:rsid w:val="008B539A"/>
    <w:rsid w:val="008B592A"/>
    <w:rsid w:val="008B7B5C"/>
    <w:rsid w:val="008C0C99"/>
    <w:rsid w:val="008C2017"/>
    <w:rsid w:val="008C4958"/>
    <w:rsid w:val="008C4BAA"/>
    <w:rsid w:val="008C57E3"/>
    <w:rsid w:val="008C6AE8"/>
    <w:rsid w:val="008C7573"/>
    <w:rsid w:val="008D00A5"/>
    <w:rsid w:val="008D34F1"/>
    <w:rsid w:val="008D39D8"/>
    <w:rsid w:val="008D53E9"/>
    <w:rsid w:val="008D6D1A"/>
    <w:rsid w:val="008E065E"/>
    <w:rsid w:val="008E0927"/>
    <w:rsid w:val="008E1909"/>
    <w:rsid w:val="008F1C4E"/>
    <w:rsid w:val="008F1EAB"/>
    <w:rsid w:val="008F33DC"/>
    <w:rsid w:val="008F46E9"/>
    <w:rsid w:val="008F477F"/>
    <w:rsid w:val="00902350"/>
    <w:rsid w:val="00902407"/>
    <w:rsid w:val="0090336B"/>
    <w:rsid w:val="009053AA"/>
    <w:rsid w:val="00906611"/>
    <w:rsid w:val="00906939"/>
    <w:rsid w:val="00907DE5"/>
    <w:rsid w:val="00910B7D"/>
    <w:rsid w:val="00911DFB"/>
    <w:rsid w:val="009139D9"/>
    <w:rsid w:val="00914AD8"/>
    <w:rsid w:val="00916079"/>
    <w:rsid w:val="00917CE9"/>
    <w:rsid w:val="00920922"/>
    <w:rsid w:val="00920BF2"/>
    <w:rsid w:val="00922010"/>
    <w:rsid w:val="00931BD9"/>
    <w:rsid w:val="009338CB"/>
    <w:rsid w:val="009368F3"/>
    <w:rsid w:val="00941636"/>
    <w:rsid w:val="00943742"/>
    <w:rsid w:val="00945C05"/>
    <w:rsid w:val="00946945"/>
    <w:rsid w:val="00947713"/>
    <w:rsid w:val="00950DE7"/>
    <w:rsid w:val="00953920"/>
    <w:rsid w:val="00953D47"/>
    <w:rsid w:val="0095681E"/>
    <w:rsid w:val="009572D4"/>
    <w:rsid w:val="00961921"/>
    <w:rsid w:val="0096430A"/>
    <w:rsid w:val="009650CC"/>
    <w:rsid w:val="0096554B"/>
    <w:rsid w:val="0096584A"/>
    <w:rsid w:val="00966062"/>
    <w:rsid w:val="00970CEA"/>
    <w:rsid w:val="00971F08"/>
    <w:rsid w:val="009759D3"/>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612E"/>
    <w:rsid w:val="009B7E87"/>
    <w:rsid w:val="009C0169"/>
    <w:rsid w:val="009C403E"/>
    <w:rsid w:val="009D4FF0"/>
    <w:rsid w:val="009D703C"/>
    <w:rsid w:val="009D718F"/>
    <w:rsid w:val="009E068F"/>
    <w:rsid w:val="009E14E0"/>
    <w:rsid w:val="009E35DB"/>
    <w:rsid w:val="009E47A3"/>
    <w:rsid w:val="009F08F3"/>
    <w:rsid w:val="009F344F"/>
    <w:rsid w:val="00A025C8"/>
    <w:rsid w:val="00A031D8"/>
    <w:rsid w:val="00A048A8"/>
    <w:rsid w:val="00A04F49"/>
    <w:rsid w:val="00A13E54"/>
    <w:rsid w:val="00A15A0B"/>
    <w:rsid w:val="00A17F63"/>
    <w:rsid w:val="00A2193B"/>
    <w:rsid w:val="00A2351A"/>
    <w:rsid w:val="00A264A9"/>
    <w:rsid w:val="00A26DCF"/>
    <w:rsid w:val="00A27785"/>
    <w:rsid w:val="00A30187"/>
    <w:rsid w:val="00A3448A"/>
    <w:rsid w:val="00A36297"/>
    <w:rsid w:val="00A41E2B"/>
    <w:rsid w:val="00A44248"/>
    <w:rsid w:val="00A45B74"/>
    <w:rsid w:val="00A47394"/>
    <w:rsid w:val="00A479EB"/>
    <w:rsid w:val="00A50A70"/>
    <w:rsid w:val="00A52E1D"/>
    <w:rsid w:val="00A61499"/>
    <w:rsid w:val="00A62A77"/>
    <w:rsid w:val="00A63483"/>
    <w:rsid w:val="00A657D7"/>
    <w:rsid w:val="00A660AC"/>
    <w:rsid w:val="00A67E6C"/>
    <w:rsid w:val="00A71B99"/>
    <w:rsid w:val="00A739D0"/>
    <w:rsid w:val="00A754B6"/>
    <w:rsid w:val="00A761D4"/>
    <w:rsid w:val="00A77EC4"/>
    <w:rsid w:val="00A8033F"/>
    <w:rsid w:val="00A80D6A"/>
    <w:rsid w:val="00A82A69"/>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5D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0580C"/>
    <w:rsid w:val="00B125AE"/>
    <w:rsid w:val="00B157F9"/>
    <w:rsid w:val="00B20256"/>
    <w:rsid w:val="00B20D09"/>
    <w:rsid w:val="00B24286"/>
    <w:rsid w:val="00B2763F"/>
    <w:rsid w:val="00B27AAC"/>
    <w:rsid w:val="00B30929"/>
    <w:rsid w:val="00B35DF6"/>
    <w:rsid w:val="00B372AA"/>
    <w:rsid w:val="00B40445"/>
    <w:rsid w:val="00B409E0"/>
    <w:rsid w:val="00B41888"/>
    <w:rsid w:val="00B43549"/>
    <w:rsid w:val="00B45A52"/>
    <w:rsid w:val="00B46175"/>
    <w:rsid w:val="00B548B7"/>
    <w:rsid w:val="00B664C7"/>
    <w:rsid w:val="00B676FF"/>
    <w:rsid w:val="00B739F6"/>
    <w:rsid w:val="00B81A6C"/>
    <w:rsid w:val="00B85DE5"/>
    <w:rsid w:val="00B90F73"/>
    <w:rsid w:val="00B93B59"/>
    <w:rsid w:val="00B9406A"/>
    <w:rsid w:val="00B9442F"/>
    <w:rsid w:val="00BA2280"/>
    <w:rsid w:val="00BA2A08"/>
    <w:rsid w:val="00BA56D2"/>
    <w:rsid w:val="00BA76E0"/>
    <w:rsid w:val="00BB10A7"/>
    <w:rsid w:val="00BB2A25"/>
    <w:rsid w:val="00BB51E9"/>
    <w:rsid w:val="00BC0FDC"/>
    <w:rsid w:val="00BC1DAE"/>
    <w:rsid w:val="00BC3053"/>
    <w:rsid w:val="00BC4D2E"/>
    <w:rsid w:val="00BC5C1F"/>
    <w:rsid w:val="00BD48AC"/>
    <w:rsid w:val="00BD5F1A"/>
    <w:rsid w:val="00BE1234"/>
    <w:rsid w:val="00BE2FA6"/>
    <w:rsid w:val="00BE333F"/>
    <w:rsid w:val="00BE37E7"/>
    <w:rsid w:val="00BE7406"/>
    <w:rsid w:val="00BE7603"/>
    <w:rsid w:val="00BE7E2A"/>
    <w:rsid w:val="00BF3279"/>
    <w:rsid w:val="00BF74C7"/>
    <w:rsid w:val="00C015F1"/>
    <w:rsid w:val="00C01F33"/>
    <w:rsid w:val="00C02CC6"/>
    <w:rsid w:val="00C040F7"/>
    <w:rsid w:val="00C044AB"/>
    <w:rsid w:val="00C05706"/>
    <w:rsid w:val="00C07377"/>
    <w:rsid w:val="00C10478"/>
    <w:rsid w:val="00C12107"/>
    <w:rsid w:val="00C129E1"/>
    <w:rsid w:val="00C14D4B"/>
    <w:rsid w:val="00C154BB"/>
    <w:rsid w:val="00C20862"/>
    <w:rsid w:val="00C21E4A"/>
    <w:rsid w:val="00C279B5"/>
    <w:rsid w:val="00C27C45"/>
    <w:rsid w:val="00C3719D"/>
    <w:rsid w:val="00C37CB2"/>
    <w:rsid w:val="00C473A5"/>
    <w:rsid w:val="00C47EFF"/>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F2"/>
    <w:rsid w:val="00CB1F63"/>
    <w:rsid w:val="00CB7170"/>
    <w:rsid w:val="00CC040E"/>
    <w:rsid w:val="00CC111F"/>
    <w:rsid w:val="00CC2011"/>
    <w:rsid w:val="00CC3EA0"/>
    <w:rsid w:val="00CC6348"/>
    <w:rsid w:val="00CC7B45"/>
    <w:rsid w:val="00CD1188"/>
    <w:rsid w:val="00CD2ED1"/>
    <w:rsid w:val="00CD337B"/>
    <w:rsid w:val="00CE0424"/>
    <w:rsid w:val="00CE0BF7"/>
    <w:rsid w:val="00CE6E0D"/>
    <w:rsid w:val="00CE7561"/>
    <w:rsid w:val="00CF1354"/>
    <w:rsid w:val="00CF3B1F"/>
    <w:rsid w:val="00CF3BF6"/>
    <w:rsid w:val="00CF625B"/>
    <w:rsid w:val="00CF687E"/>
    <w:rsid w:val="00D0349B"/>
    <w:rsid w:val="00D10249"/>
    <w:rsid w:val="00D115C3"/>
    <w:rsid w:val="00D11897"/>
    <w:rsid w:val="00D13135"/>
    <w:rsid w:val="00D13E4E"/>
    <w:rsid w:val="00D153B5"/>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5F43"/>
    <w:rsid w:val="00D86CA3"/>
    <w:rsid w:val="00D871CE"/>
    <w:rsid w:val="00D87F71"/>
    <w:rsid w:val="00D9196D"/>
    <w:rsid w:val="00D92982"/>
    <w:rsid w:val="00DA305E"/>
    <w:rsid w:val="00DA5417"/>
    <w:rsid w:val="00DA56E8"/>
    <w:rsid w:val="00DB0A9F"/>
    <w:rsid w:val="00DB377D"/>
    <w:rsid w:val="00DB7946"/>
    <w:rsid w:val="00DC2A9F"/>
    <w:rsid w:val="00DC2D36"/>
    <w:rsid w:val="00DC53EF"/>
    <w:rsid w:val="00DE5608"/>
    <w:rsid w:val="00DE58D0"/>
    <w:rsid w:val="00DE654F"/>
    <w:rsid w:val="00DE796B"/>
    <w:rsid w:val="00DF0B6E"/>
    <w:rsid w:val="00DF15E0"/>
    <w:rsid w:val="00DF37A0"/>
    <w:rsid w:val="00DF42E0"/>
    <w:rsid w:val="00DF56A4"/>
    <w:rsid w:val="00E110E7"/>
    <w:rsid w:val="00E11B20"/>
    <w:rsid w:val="00E17FA2"/>
    <w:rsid w:val="00E22330"/>
    <w:rsid w:val="00E30B5A"/>
    <w:rsid w:val="00E3123D"/>
    <w:rsid w:val="00E31461"/>
    <w:rsid w:val="00E31D43"/>
    <w:rsid w:val="00E32608"/>
    <w:rsid w:val="00E3308B"/>
    <w:rsid w:val="00E34188"/>
    <w:rsid w:val="00E34B6E"/>
    <w:rsid w:val="00E35559"/>
    <w:rsid w:val="00E3723A"/>
    <w:rsid w:val="00E37860"/>
    <w:rsid w:val="00E42FF5"/>
    <w:rsid w:val="00E446F1"/>
    <w:rsid w:val="00E44A1A"/>
    <w:rsid w:val="00E46233"/>
    <w:rsid w:val="00E46886"/>
    <w:rsid w:val="00E47AEF"/>
    <w:rsid w:val="00E53B75"/>
    <w:rsid w:val="00E54E3B"/>
    <w:rsid w:val="00E57565"/>
    <w:rsid w:val="00E63838"/>
    <w:rsid w:val="00E64434"/>
    <w:rsid w:val="00E671EB"/>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22FA"/>
    <w:rsid w:val="00EB4EA2"/>
    <w:rsid w:val="00EC24D5"/>
    <w:rsid w:val="00EC27C6"/>
    <w:rsid w:val="00EC4207"/>
    <w:rsid w:val="00EC5653"/>
    <w:rsid w:val="00EC71CE"/>
    <w:rsid w:val="00ED1006"/>
    <w:rsid w:val="00EE1FC2"/>
    <w:rsid w:val="00EE5B88"/>
    <w:rsid w:val="00EF18FE"/>
    <w:rsid w:val="00EF4489"/>
    <w:rsid w:val="00EF5787"/>
    <w:rsid w:val="00EF60D0"/>
    <w:rsid w:val="00F0069C"/>
    <w:rsid w:val="00F0528D"/>
    <w:rsid w:val="00F06C67"/>
    <w:rsid w:val="00F06DFD"/>
    <w:rsid w:val="00F071D1"/>
    <w:rsid w:val="00F07533"/>
    <w:rsid w:val="00F078DE"/>
    <w:rsid w:val="00F10629"/>
    <w:rsid w:val="00F12A37"/>
    <w:rsid w:val="00F140A1"/>
    <w:rsid w:val="00F15FA5"/>
    <w:rsid w:val="00F209B7"/>
    <w:rsid w:val="00F2376F"/>
    <w:rsid w:val="00F243D8"/>
    <w:rsid w:val="00F30828"/>
    <w:rsid w:val="00F313D6"/>
    <w:rsid w:val="00F40F0C"/>
    <w:rsid w:val="00F44E35"/>
    <w:rsid w:val="00F4766C"/>
    <w:rsid w:val="00F5060E"/>
    <w:rsid w:val="00F507D1"/>
    <w:rsid w:val="00F5119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29C"/>
    <w:rsid w:val="00FB4C80"/>
    <w:rsid w:val="00FB5240"/>
    <w:rsid w:val="00FB6A6A"/>
    <w:rsid w:val="00FB6F9C"/>
    <w:rsid w:val="00FC5126"/>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4A0E"/>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50A70"/>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50A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0A7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967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cstheme="minorBidi"/>
      <w:sz w:val="24"/>
      <w:szCs w:val="24"/>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503251"/>
    <w:rPr>
      <w:color w:val="808080"/>
    </w:rPr>
  </w:style>
  <w:style w:type="paragraph" w:customStyle="1" w:styleId="LGTdoc">
    <w:name w:val="LGTdoc_본문"/>
    <w:basedOn w:val="Normal"/>
    <w:link w:val="LGTdocChar"/>
    <w:qFormat/>
    <w:rsid w:val="00B35DF6"/>
    <w:pPr>
      <w:widowControl w:val="0"/>
      <w:snapToGrid w:val="0"/>
      <w:spacing w:afterLines="50" w:line="264" w:lineRule="auto"/>
      <w:jc w:val="both"/>
    </w:pPr>
    <w:rPr>
      <w:rFonts w:eastAsia="Batang"/>
      <w:kern w:val="2"/>
      <w:lang w:eastAsia="ko-KR"/>
    </w:rPr>
  </w:style>
  <w:style w:type="character" w:customStyle="1" w:styleId="LGTdocChar">
    <w:name w:val="LGTdoc_본문 Char"/>
    <w:link w:val="LGTdoc"/>
    <w:qFormat/>
    <w:rsid w:val="00B35DF6"/>
    <w:rPr>
      <w:rFonts w:asciiTheme="minorHAnsi" w:eastAsia="Batang" w:hAnsiTheme="minorHAnsi" w:cstheme="minorBidi"/>
      <w:kern w:val="2"/>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605</Words>
  <Characters>4901</Characters>
  <Application>Microsoft Office Word</Application>
  <DocSecurity>0</DocSecurity>
  <Lines>40</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5496</CharactersWithSpaces>
  <SharedDoc>false</SharedDoc>
  <HLinks>
    <vt:vector size="48" baseType="variant">
      <vt:variant>
        <vt:i4>2555904</vt:i4>
      </vt:variant>
      <vt:variant>
        <vt:i4>41</vt:i4>
      </vt:variant>
      <vt:variant>
        <vt:i4>0</vt:i4>
      </vt:variant>
      <vt:variant>
        <vt:i4>5</vt:i4>
      </vt:variant>
      <vt:variant>
        <vt:lpwstr/>
      </vt:variant>
      <vt:variant>
        <vt:lpwstr>_Toc7613656</vt:lpwstr>
      </vt:variant>
      <vt:variant>
        <vt:i4>2555904</vt:i4>
      </vt:variant>
      <vt:variant>
        <vt:i4>38</vt:i4>
      </vt:variant>
      <vt:variant>
        <vt:i4>0</vt:i4>
      </vt:variant>
      <vt:variant>
        <vt:i4>5</vt:i4>
      </vt:variant>
      <vt:variant>
        <vt:lpwstr/>
      </vt:variant>
      <vt:variant>
        <vt:lpwstr>_Toc7613655</vt:lpwstr>
      </vt:variant>
      <vt:variant>
        <vt:i4>2555904</vt:i4>
      </vt:variant>
      <vt:variant>
        <vt:i4>35</vt:i4>
      </vt:variant>
      <vt:variant>
        <vt:i4>0</vt:i4>
      </vt:variant>
      <vt:variant>
        <vt:i4>5</vt:i4>
      </vt:variant>
      <vt:variant>
        <vt:lpwstr/>
      </vt:variant>
      <vt:variant>
        <vt:lpwstr>_Toc7613654</vt:lpwstr>
      </vt:variant>
      <vt:variant>
        <vt:i4>2555904</vt:i4>
      </vt:variant>
      <vt:variant>
        <vt:i4>32</vt:i4>
      </vt:variant>
      <vt:variant>
        <vt:i4>0</vt:i4>
      </vt:variant>
      <vt:variant>
        <vt:i4>5</vt:i4>
      </vt:variant>
      <vt:variant>
        <vt:lpwstr/>
      </vt:variant>
      <vt:variant>
        <vt:lpwstr>_Toc7613653</vt:lpwstr>
      </vt:variant>
      <vt:variant>
        <vt:i4>2555904</vt:i4>
      </vt:variant>
      <vt:variant>
        <vt:i4>29</vt:i4>
      </vt:variant>
      <vt:variant>
        <vt:i4>0</vt:i4>
      </vt:variant>
      <vt:variant>
        <vt:i4>5</vt:i4>
      </vt:variant>
      <vt:variant>
        <vt:lpwstr/>
      </vt:variant>
      <vt:variant>
        <vt:lpwstr>_Toc7613652</vt:lpwstr>
      </vt:variant>
      <vt:variant>
        <vt:i4>2555904</vt:i4>
      </vt:variant>
      <vt:variant>
        <vt:i4>26</vt:i4>
      </vt:variant>
      <vt:variant>
        <vt:i4>0</vt:i4>
      </vt:variant>
      <vt:variant>
        <vt:i4>5</vt:i4>
      </vt:variant>
      <vt:variant>
        <vt:lpwstr/>
      </vt:variant>
      <vt:variant>
        <vt:lpwstr>_Toc7613651</vt:lpwstr>
      </vt:variant>
      <vt:variant>
        <vt:i4>2555904</vt:i4>
      </vt:variant>
      <vt:variant>
        <vt:i4>23</vt:i4>
      </vt:variant>
      <vt:variant>
        <vt:i4>0</vt:i4>
      </vt:variant>
      <vt:variant>
        <vt:i4>5</vt:i4>
      </vt:variant>
      <vt:variant>
        <vt:lpwstr/>
      </vt:variant>
      <vt:variant>
        <vt:lpwstr>_Toc7613650</vt:lpwstr>
      </vt:variant>
      <vt:variant>
        <vt:i4>2490368</vt:i4>
      </vt:variant>
      <vt:variant>
        <vt:i4>20</vt:i4>
      </vt:variant>
      <vt:variant>
        <vt:i4>0</vt:i4>
      </vt:variant>
      <vt:variant>
        <vt:i4>5</vt:i4>
      </vt:variant>
      <vt:variant>
        <vt:lpwstr/>
      </vt:variant>
      <vt:variant>
        <vt:lpwstr>_Toc7613649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2019-05-03T18:18:00Z</dcterms:created>
  <dcterms:modified xsi:type="dcterms:W3CDTF">2019-05-03T18:18:00Z</dcterms:modified>
  <cp:category/>
</cp:coreProperties>
</file>